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8567" w14:textId="00F843B8" w:rsidR="009931E6" w:rsidRPr="00C740E3" w:rsidRDefault="00BF156A" w:rsidP="006D09D9">
      <w:pPr>
        <w:pStyle w:val="Nagwek1"/>
        <w:spacing w:before="100" w:line="279" w:lineRule="exact"/>
        <w:ind w:right="213"/>
        <w:jc w:val="left"/>
        <w:rPr>
          <w:sz w:val="22"/>
          <w:szCs w:val="22"/>
        </w:rPr>
      </w:pPr>
      <w:r w:rsidRPr="00C740E3">
        <w:rPr>
          <w:color w:val="003366"/>
          <w:sz w:val="22"/>
          <w:szCs w:val="22"/>
        </w:rPr>
        <w:t>NEWSLETTER NR</w:t>
      </w:r>
      <w:r w:rsidRPr="00C740E3">
        <w:rPr>
          <w:color w:val="003366"/>
          <w:spacing w:val="-8"/>
          <w:sz w:val="22"/>
          <w:szCs w:val="22"/>
        </w:rPr>
        <w:t xml:space="preserve"> </w:t>
      </w:r>
      <w:r w:rsidR="00D75991">
        <w:rPr>
          <w:color w:val="003366"/>
          <w:sz w:val="22"/>
          <w:szCs w:val="22"/>
        </w:rPr>
        <w:t>14</w:t>
      </w:r>
      <w:r w:rsidR="00941773">
        <w:rPr>
          <w:color w:val="003366"/>
          <w:sz w:val="22"/>
          <w:szCs w:val="22"/>
        </w:rPr>
        <w:t>9</w:t>
      </w:r>
    </w:p>
    <w:p w14:paraId="0DF01D90" w14:textId="32015AEB" w:rsidR="00F71348" w:rsidRDefault="00012A7D" w:rsidP="006D09D9">
      <w:pPr>
        <w:ind w:right="214"/>
        <w:rPr>
          <w:color w:val="003366"/>
          <w:szCs w:val="20"/>
        </w:rPr>
      </w:pPr>
      <w:r>
        <w:rPr>
          <w:color w:val="003366"/>
          <w:szCs w:val="20"/>
        </w:rPr>
        <w:t>3</w:t>
      </w:r>
      <w:r w:rsidR="00375A34">
        <w:rPr>
          <w:color w:val="003366"/>
          <w:szCs w:val="20"/>
        </w:rPr>
        <w:t>.0</w:t>
      </w:r>
      <w:r>
        <w:rPr>
          <w:color w:val="003366"/>
          <w:szCs w:val="20"/>
        </w:rPr>
        <w:t>7</w:t>
      </w:r>
      <w:r w:rsidR="00375A34">
        <w:rPr>
          <w:color w:val="003366"/>
          <w:szCs w:val="20"/>
        </w:rPr>
        <w:t>.</w:t>
      </w:r>
      <w:r w:rsidR="003326C4" w:rsidRPr="00C740E3">
        <w:rPr>
          <w:color w:val="003366"/>
          <w:szCs w:val="20"/>
        </w:rPr>
        <w:t>202</w:t>
      </w:r>
      <w:r w:rsidR="00941773">
        <w:rPr>
          <w:color w:val="003366"/>
          <w:szCs w:val="20"/>
        </w:rPr>
        <w:t>4</w:t>
      </w:r>
      <w:r w:rsidR="003326C4" w:rsidRPr="00C740E3">
        <w:rPr>
          <w:color w:val="003366"/>
          <w:szCs w:val="20"/>
        </w:rPr>
        <w:t xml:space="preserve"> </w:t>
      </w:r>
      <w:r w:rsidR="00BF156A" w:rsidRPr="00C740E3">
        <w:rPr>
          <w:color w:val="003366"/>
          <w:szCs w:val="20"/>
        </w:rPr>
        <w:t>r.</w:t>
      </w:r>
    </w:p>
    <w:p w14:paraId="460301D1" w14:textId="2A57F85D" w:rsidR="00F42058" w:rsidRDefault="00F42058" w:rsidP="006D09D9">
      <w:pPr>
        <w:ind w:right="214"/>
        <w:rPr>
          <w:color w:val="003366"/>
          <w:szCs w:val="20"/>
        </w:rPr>
      </w:pPr>
    </w:p>
    <w:p w14:paraId="60D09A18" w14:textId="0C5B9F77" w:rsidR="00F71348" w:rsidRPr="00E65CDB" w:rsidRDefault="00F71348" w:rsidP="006D09D9">
      <w:pPr>
        <w:ind w:right="214"/>
        <w:rPr>
          <w:color w:val="003366"/>
          <w:szCs w:val="20"/>
        </w:rPr>
      </w:pPr>
    </w:p>
    <w:p w14:paraId="74B2ABD9" w14:textId="2285E891" w:rsidR="00941773" w:rsidRPr="00E14343" w:rsidRDefault="00941773" w:rsidP="00F42058">
      <w:pPr>
        <w:rPr>
          <w:rFonts w:cs="Calibri"/>
          <w:b/>
          <w:bCs/>
          <w:color w:val="1F497D" w:themeColor="text2"/>
          <w:sz w:val="28"/>
          <w:szCs w:val="28"/>
        </w:rPr>
      </w:pPr>
      <w:bookmarkStart w:id="0" w:name="_Hlk170124000"/>
      <w:r w:rsidRPr="00941773">
        <w:rPr>
          <w:rFonts w:cs="Calibri"/>
          <w:b/>
          <w:bCs/>
          <w:color w:val="1F497D" w:themeColor="text2"/>
          <w:sz w:val="28"/>
          <w:szCs w:val="28"/>
        </w:rPr>
        <w:t>Konkurs w ramach Krajowego Planu Odbudowy</w:t>
      </w:r>
      <w:r w:rsidR="006D09D9">
        <w:rPr>
          <w:rFonts w:cs="Calibri"/>
          <w:b/>
          <w:bCs/>
          <w:color w:val="1F497D" w:themeColor="text2"/>
          <w:sz w:val="28"/>
          <w:szCs w:val="28"/>
        </w:rPr>
        <w:t xml:space="preserve"> </w:t>
      </w:r>
      <w:r w:rsidRPr="00941773">
        <w:rPr>
          <w:rFonts w:cs="Calibri"/>
          <w:b/>
          <w:bCs/>
          <w:color w:val="1F497D" w:themeColor="text2"/>
          <w:sz w:val="28"/>
          <w:szCs w:val="28"/>
        </w:rPr>
        <w:t>Inwestycja D3.1.1 Kompleksowy rozwój badań w zakresie</w:t>
      </w:r>
      <w:r w:rsidR="006D09D9">
        <w:rPr>
          <w:rFonts w:cs="Calibri"/>
          <w:b/>
          <w:bCs/>
          <w:color w:val="1F497D" w:themeColor="text2"/>
          <w:sz w:val="28"/>
          <w:szCs w:val="28"/>
        </w:rPr>
        <w:t xml:space="preserve"> </w:t>
      </w:r>
      <w:r w:rsidRPr="00941773">
        <w:rPr>
          <w:rFonts w:cs="Calibri"/>
          <w:b/>
          <w:bCs/>
          <w:color w:val="1F497D" w:themeColor="text2"/>
          <w:sz w:val="28"/>
          <w:szCs w:val="28"/>
        </w:rPr>
        <w:t>nauk medycznych i nauk o zdrowiu</w:t>
      </w:r>
    </w:p>
    <w:bookmarkEnd w:id="0"/>
    <w:p w14:paraId="585E704A" w14:textId="3A06B939" w:rsidR="00941773" w:rsidRDefault="00941773" w:rsidP="00F42058">
      <w:pPr>
        <w:rPr>
          <w:rFonts w:ascii="Calibri" w:hAnsi="Calibri" w:cs="Calibri"/>
          <w:color w:val="000000"/>
        </w:rPr>
      </w:pPr>
    </w:p>
    <w:p w14:paraId="1C5123B5" w14:textId="04BF2A3B" w:rsidR="006D09D9" w:rsidRDefault="005815B1" w:rsidP="00F4205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Agencja Badań Medycznych ogłosiła</w:t>
      </w:r>
      <w:r w:rsidR="006D09D9">
        <w:rPr>
          <w:rFonts w:ascii="Calibri" w:hAnsi="Calibri" w:cs="Calibri"/>
          <w:color w:val="000000"/>
        </w:rPr>
        <w:t xml:space="preserve"> konkurs </w:t>
      </w:r>
      <w:r w:rsidRPr="005815B1">
        <w:rPr>
          <w:rFonts w:ascii="Calibri" w:hAnsi="Calibri" w:cs="Calibri"/>
          <w:color w:val="000000"/>
        </w:rPr>
        <w:t>dla jednostek naukowych na realizację badań o charakterze aplikacyjnym w obszarze biomedycznym</w:t>
      </w:r>
      <w:r w:rsidR="006D09D9">
        <w:rPr>
          <w:rFonts w:ascii="Calibri" w:hAnsi="Calibri" w:cs="Calibri"/>
          <w:color w:val="000000"/>
        </w:rPr>
        <w:t>:</w:t>
      </w:r>
    </w:p>
    <w:p w14:paraId="51CCD80F" w14:textId="6CFF241B" w:rsidR="006D09D9" w:rsidRPr="006D09D9" w:rsidRDefault="006D09D9" w:rsidP="00F42058">
      <w:pPr>
        <w:rPr>
          <w:rFonts w:ascii="Calibri" w:hAnsi="Calibri" w:cs="Calibri"/>
          <w:color w:val="000000"/>
          <w:lang w:val="en-GB"/>
        </w:rPr>
      </w:pPr>
      <w:r w:rsidRPr="006D09D9">
        <w:rPr>
          <w:rFonts w:ascii="Calibri" w:hAnsi="Calibri" w:cs="Calibri"/>
          <w:color w:val="000000"/>
          <w:lang w:val="en-GB"/>
        </w:rPr>
        <w:t xml:space="preserve">Link: </w:t>
      </w:r>
      <w:hyperlink r:id="rId8" w:history="1">
        <w:r w:rsidRPr="00123FA9">
          <w:rPr>
            <w:rStyle w:val="Hipercze"/>
            <w:rFonts w:ascii="Calibri" w:hAnsi="Calibri" w:cs="Calibri"/>
            <w:lang w:val="en-GB"/>
          </w:rPr>
          <w:t>https://abm.gov.pl/pl/aktualnosci/2635,Pierwszy-konkurs-ABM-w-ramach-KPO.html</w:t>
        </w:r>
      </w:hyperlink>
      <w:r>
        <w:rPr>
          <w:rFonts w:ascii="Calibri" w:hAnsi="Calibri" w:cs="Calibri"/>
          <w:color w:val="000000"/>
          <w:lang w:val="en-GB"/>
        </w:rPr>
        <w:t xml:space="preserve"> </w:t>
      </w:r>
    </w:p>
    <w:p w14:paraId="7DB90159" w14:textId="77777777" w:rsidR="006D09D9" w:rsidRPr="006D09D9" w:rsidRDefault="006D09D9" w:rsidP="00F42058">
      <w:pPr>
        <w:rPr>
          <w:rFonts w:ascii="Calibri" w:hAnsi="Calibri" w:cs="Calibri"/>
          <w:color w:val="000000"/>
          <w:lang w:val="en-GB"/>
        </w:rPr>
      </w:pPr>
    </w:p>
    <w:p w14:paraId="64D9982F" w14:textId="180AADA6" w:rsidR="005815B1" w:rsidRDefault="005815B1" w:rsidP="00F42058">
      <w:pPr>
        <w:rPr>
          <w:rFonts w:ascii="Calibri" w:hAnsi="Calibri" w:cs="Calibri"/>
          <w:b/>
          <w:bCs/>
        </w:rPr>
      </w:pPr>
      <w:r w:rsidRPr="005815B1">
        <w:rPr>
          <w:rFonts w:ascii="Calibri" w:hAnsi="Calibri" w:cs="Calibri"/>
          <w:b/>
          <w:bCs/>
          <w:color w:val="000000"/>
        </w:rPr>
        <w:t xml:space="preserve">Wnioskodawcy mogą uzyskać wsparcie na realizację badań przemysłowych i/lub prac rozwojowych w dziedzinie nauk medycznych i nauk o zdrowiu wpisujących się we wskazane </w:t>
      </w:r>
      <w:r w:rsidRPr="006D09D9">
        <w:rPr>
          <w:rFonts w:ascii="Calibri" w:hAnsi="Calibri" w:cs="Calibri"/>
          <w:b/>
          <w:bCs/>
        </w:rPr>
        <w:t>dz</w:t>
      </w:r>
      <w:r w:rsidRPr="006D09D9">
        <w:rPr>
          <w:rFonts w:ascii="Calibri" w:hAnsi="Calibri" w:cs="Calibri"/>
          <w:b/>
          <w:bCs/>
        </w:rPr>
        <w:t>i</w:t>
      </w:r>
      <w:r w:rsidRPr="006D09D9">
        <w:rPr>
          <w:rFonts w:ascii="Calibri" w:hAnsi="Calibri" w:cs="Calibri"/>
          <w:b/>
          <w:bCs/>
        </w:rPr>
        <w:t>ałania szczegółowe Rządowego Planu Rozwoju Sektora Biomedycznego na lata 2022-2031</w:t>
      </w:r>
      <w:r w:rsidR="006D09D9">
        <w:rPr>
          <w:rFonts w:ascii="Calibri" w:hAnsi="Calibri" w:cs="Calibri"/>
          <w:b/>
          <w:bCs/>
        </w:rPr>
        <w:t>:</w:t>
      </w:r>
    </w:p>
    <w:p w14:paraId="6CB484C1" w14:textId="52869181" w:rsidR="006D09D9" w:rsidRPr="006D09D9" w:rsidRDefault="006D09D9" w:rsidP="00F42058">
      <w:pPr>
        <w:rPr>
          <w:rFonts w:ascii="Calibri" w:hAnsi="Calibri" w:cs="Calibri"/>
          <w:color w:val="000000"/>
          <w:lang w:val="en-GB"/>
        </w:rPr>
      </w:pPr>
      <w:r w:rsidRPr="006D09D9">
        <w:rPr>
          <w:rFonts w:ascii="Calibri" w:hAnsi="Calibri" w:cs="Calibri"/>
          <w:lang w:val="en-GB"/>
        </w:rPr>
        <w:t xml:space="preserve">Link: </w:t>
      </w:r>
      <w:hyperlink r:id="rId9" w:history="1">
        <w:r w:rsidRPr="006D09D9">
          <w:rPr>
            <w:rStyle w:val="Hipercze"/>
            <w:rFonts w:ascii="Calibri" w:hAnsi="Calibri" w:cs="Calibri"/>
            <w:lang w:val="en-GB"/>
          </w:rPr>
          <w:t>https://www.gov.pl/web/zdrowie/uchwala-rady-ministrow-z-dnia-21-czerwca-2022-r-w-sprawie-przyjecia-dokumentu-rzadowy-plan-rozwoju-sektora-biomedycznego-na-lata-2022-2032/</w:t>
        </w:r>
      </w:hyperlink>
      <w:r w:rsidRPr="006D09D9">
        <w:rPr>
          <w:rFonts w:ascii="Calibri" w:hAnsi="Calibri" w:cs="Calibri"/>
          <w:lang w:val="en-GB"/>
        </w:rPr>
        <w:t xml:space="preserve"> </w:t>
      </w:r>
    </w:p>
    <w:p w14:paraId="20F1724B" w14:textId="07E1668F" w:rsidR="005815B1" w:rsidRPr="006D09D9" w:rsidRDefault="005815B1" w:rsidP="00F42058">
      <w:pPr>
        <w:rPr>
          <w:rFonts w:ascii="Calibri" w:hAnsi="Calibri" w:cs="Calibri"/>
          <w:color w:val="000000"/>
          <w:lang w:val="en-GB"/>
        </w:rPr>
      </w:pPr>
    </w:p>
    <w:p w14:paraId="14B157C6" w14:textId="3C20E6F4" w:rsidR="005815B1" w:rsidRPr="006D09D9" w:rsidRDefault="005815B1" w:rsidP="00F42058">
      <w:pPr>
        <w:rPr>
          <w:rFonts w:ascii="Calibri" w:hAnsi="Calibri" w:cs="Calibri"/>
          <w:color w:val="000000"/>
          <w:lang w:val="en-GB"/>
        </w:rPr>
      </w:pPr>
    </w:p>
    <w:p w14:paraId="5C6EB2C9" w14:textId="742FEC20" w:rsidR="005815B1" w:rsidRPr="006D09D9" w:rsidRDefault="005815B1" w:rsidP="00F42058">
      <w:pPr>
        <w:spacing w:after="40"/>
        <w:rPr>
          <w:b/>
          <w:sz w:val="20"/>
          <w:u w:val="single"/>
          <w:lang w:val="en-GB"/>
        </w:rPr>
      </w:pPr>
      <w:proofErr w:type="spellStart"/>
      <w:r w:rsidRPr="006D09D9">
        <w:rPr>
          <w:b/>
          <w:sz w:val="20"/>
          <w:u w:val="single"/>
          <w:lang w:val="en-GB"/>
        </w:rPr>
        <w:t>Cel</w:t>
      </w:r>
      <w:proofErr w:type="spellEnd"/>
    </w:p>
    <w:p w14:paraId="2EFCA097" w14:textId="5AA27D36" w:rsidR="00941773" w:rsidRPr="005815B1" w:rsidRDefault="005815B1" w:rsidP="00F42058">
      <w:pPr>
        <w:rPr>
          <w:rFonts w:asciiTheme="minorHAnsi" w:hAnsiTheme="minorHAnsi" w:cstheme="minorHAnsi"/>
          <w:color w:val="000000"/>
        </w:rPr>
      </w:pPr>
      <w:r w:rsidRPr="005815B1">
        <w:rPr>
          <w:rFonts w:asciiTheme="minorHAnsi" w:hAnsiTheme="minorHAnsi" w:cstheme="minorHAnsi"/>
          <w:color w:val="000000"/>
        </w:rPr>
        <w:t>Realizacja wspartych prac ma doprowadzić do wzrostu liczby innowacyjnych projektów na nowe lub ulepszone rozwiązania/technologie/produkty/metody</w:t>
      </w:r>
      <w:r w:rsidR="00E65CDB">
        <w:rPr>
          <w:rFonts w:asciiTheme="minorHAnsi" w:hAnsiTheme="minorHAnsi" w:cstheme="minorHAnsi"/>
          <w:color w:val="000000"/>
        </w:rPr>
        <w:t xml:space="preserve"> </w:t>
      </w:r>
      <w:r w:rsidRPr="005815B1">
        <w:rPr>
          <w:rFonts w:asciiTheme="minorHAnsi" w:hAnsiTheme="minorHAnsi" w:cstheme="minorHAnsi"/>
          <w:color w:val="000000"/>
        </w:rPr>
        <w:t>z potencjałem przyszłego wykorzystania, które w perspektywie długoterminowej mogą przyczynić się do podniesienia efektywności i jakości systemu ochrony zdrowia.</w:t>
      </w:r>
    </w:p>
    <w:p w14:paraId="6603AFAF" w14:textId="3677BF37" w:rsidR="008C1B9A" w:rsidRDefault="008C1B9A" w:rsidP="00F42058">
      <w:pPr>
        <w:rPr>
          <w:rFonts w:asciiTheme="minorHAnsi" w:hAnsiTheme="minorHAnsi" w:cstheme="minorHAnsi"/>
        </w:rPr>
      </w:pPr>
    </w:p>
    <w:p w14:paraId="75ABD555" w14:textId="1BB7E2C4" w:rsidR="00AC5182" w:rsidRDefault="008C1B9A" w:rsidP="00F42058">
      <w:pPr>
        <w:rPr>
          <w:rFonts w:ascii="Calibri" w:hAnsi="Calibri" w:cs="Calibri"/>
          <w:color w:val="000000"/>
        </w:rPr>
      </w:pPr>
      <w:r w:rsidRPr="008C1B9A">
        <w:rPr>
          <w:rFonts w:ascii="Calibri" w:hAnsi="Calibri" w:cs="Calibri"/>
          <w:color w:val="000000"/>
        </w:rPr>
        <w:t xml:space="preserve">Wnioskodawcy mogą uzyskać wsparcie na realizację badań przemysłowych i/lub prac rozwojowych w dziedzinie nauk medycznych i nauk o zdrowiu wpisujących się </w:t>
      </w:r>
      <w:r w:rsidR="00AC5182">
        <w:rPr>
          <w:rFonts w:ascii="Calibri" w:hAnsi="Calibri" w:cs="Calibri"/>
          <w:color w:val="000000"/>
        </w:rPr>
        <w:t xml:space="preserve">w co najmniej jedno z następujących </w:t>
      </w:r>
      <w:r w:rsidRPr="008C1B9A">
        <w:rPr>
          <w:rFonts w:ascii="Calibri" w:hAnsi="Calibri" w:cs="Calibri"/>
          <w:color w:val="000000"/>
        </w:rPr>
        <w:t>działa</w:t>
      </w:r>
      <w:r w:rsidR="00AC5182">
        <w:rPr>
          <w:rFonts w:ascii="Calibri" w:hAnsi="Calibri" w:cs="Calibri"/>
          <w:color w:val="000000"/>
        </w:rPr>
        <w:t>ń</w:t>
      </w:r>
      <w:r w:rsidRPr="008C1B9A">
        <w:rPr>
          <w:rFonts w:ascii="Calibri" w:hAnsi="Calibri" w:cs="Calibri"/>
          <w:color w:val="000000"/>
        </w:rPr>
        <w:t xml:space="preserve"> szczegółow</w:t>
      </w:r>
      <w:r w:rsidR="00AC5182">
        <w:rPr>
          <w:rFonts w:ascii="Calibri" w:hAnsi="Calibri" w:cs="Calibri"/>
          <w:color w:val="000000"/>
        </w:rPr>
        <w:t>ych</w:t>
      </w:r>
      <w:r w:rsidRPr="008C1B9A">
        <w:rPr>
          <w:rFonts w:ascii="Calibri" w:hAnsi="Calibri" w:cs="Calibri"/>
          <w:color w:val="000000"/>
        </w:rPr>
        <w:t xml:space="preserve"> Rządowego Planu Rozwoju Sektora Biomedycznego na lata 2022-2031</w:t>
      </w:r>
      <w:r>
        <w:rPr>
          <w:rFonts w:ascii="Calibri" w:hAnsi="Calibri" w:cs="Calibri"/>
          <w:color w:val="000000"/>
        </w:rPr>
        <w:t>:</w:t>
      </w:r>
    </w:p>
    <w:p w14:paraId="78833AFD" w14:textId="77777777" w:rsidR="00AC5182" w:rsidRPr="00AC5182" w:rsidRDefault="00AC5182" w:rsidP="00F42058">
      <w:pPr>
        <w:spacing w:after="50"/>
        <w:rPr>
          <w:rFonts w:ascii="Calibri" w:hAnsi="Calibri" w:cs="Calibri"/>
          <w:color w:val="000000"/>
        </w:rPr>
      </w:pPr>
    </w:p>
    <w:p w14:paraId="3452A272" w14:textId="77777777" w:rsidR="00AC5182" w:rsidRPr="00AC5182" w:rsidRDefault="00AC5182" w:rsidP="00F42058">
      <w:pPr>
        <w:pStyle w:val="Akapitzlist"/>
        <w:widowControl/>
        <w:numPr>
          <w:ilvl w:val="0"/>
          <w:numId w:val="13"/>
        </w:numPr>
        <w:adjustRightInd w:val="0"/>
        <w:spacing w:after="50"/>
        <w:jc w:val="left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C5182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rozwiązania w obszarze produktów leczniczych opartych na kwasach nukleinowych; </w:t>
      </w:r>
    </w:p>
    <w:p w14:paraId="20379D81" w14:textId="77777777" w:rsidR="00AC5182" w:rsidRPr="00AC5182" w:rsidRDefault="00AC5182" w:rsidP="00F42058">
      <w:pPr>
        <w:pStyle w:val="Akapitzlist"/>
        <w:widowControl/>
        <w:numPr>
          <w:ilvl w:val="0"/>
          <w:numId w:val="13"/>
        </w:numPr>
        <w:adjustRightInd w:val="0"/>
        <w:spacing w:after="50"/>
        <w:jc w:val="left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C5182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rozwiązania w obszarze produktów leczniczych opartych na terapii komórkowej i produktach białkowych; </w:t>
      </w:r>
    </w:p>
    <w:p w14:paraId="20C29153" w14:textId="77777777" w:rsidR="00AC5182" w:rsidRPr="00AC5182" w:rsidRDefault="00AC5182" w:rsidP="00F42058">
      <w:pPr>
        <w:pStyle w:val="Akapitzlist"/>
        <w:widowControl/>
        <w:numPr>
          <w:ilvl w:val="0"/>
          <w:numId w:val="13"/>
        </w:numPr>
        <w:adjustRightInd w:val="0"/>
        <w:spacing w:after="50"/>
        <w:jc w:val="left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C5182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rozwiązania w obszarze nowych postaci farmaceutycznych, produkcji substancji aktywnych leków dopuszczonych do obrotu i leków </w:t>
      </w:r>
      <w:proofErr w:type="spellStart"/>
      <w:r w:rsidRPr="00AC5182">
        <w:rPr>
          <w:rFonts w:asciiTheme="minorHAnsi" w:eastAsiaTheme="minorHAnsi" w:hAnsiTheme="minorHAnsi" w:cstheme="minorHAnsi"/>
          <w:color w:val="000000"/>
          <w:lang w:eastAsia="en-US" w:bidi="ar-SA"/>
        </w:rPr>
        <w:t>biopodobnych</w:t>
      </w:r>
      <w:proofErr w:type="spellEnd"/>
      <w:r w:rsidRPr="00AC5182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; </w:t>
      </w:r>
    </w:p>
    <w:p w14:paraId="214FCD2B" w14:textId="77777777" w:rsidR="00AC5182" w:rsidRPr="00AC5182" w:rsidRDefault="00AC5182" w:rsidP="00F42058">
      <w:pPr>
        <w:pStyle w:val="Akapitzlist"/>
        <w:widowControl/>
        <w:numPr>
          <w:ilvl w:val="0"/>
          <w:numId w:val="13"/>
        </w:numPr>
        <w:adjustRightInd w:val="0"/>
        <w:spacing w:after="50"/>
        <w:jc w:val="left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C5182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rozwój nowatorskich rozwiązań lekowych w fazie badawczo-rozwojowej w celu wzmocnienia polskiego sektora farmaceutycznego i biotechnologicznego; </w:t>
      </w:r>
    </w:p>
    <w:p w14:paraId="77D58BD6" w14:textId="77777777" w:rsidR="00AC5182" w:rsidRPr="00AC5182" w:rsidRDefault="00AC5182" w:rsidP="00F42058">
      <w:pPr>
        <w:pStyle w:val="Akapitzlist"/>
        <w:widowControl/>
        <w:numPr>
          <w:ilvl w:val="0"/>
          <w:numId w:val="13"/>
        </w:numPr>
        <w:adjustRightInd w:val="0"/>
        <w:spacing w:after="50"/>
        <w:jc w:val="left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C5182">
        <w:rPr>
          <w:rFonts w:asciiTheme="minorHAnsi" w:eastAsiaTheme="minorHAnsi" w:hAnsiTheme="minorHAnsi" w:cstheme="minorHAnsi"/>
          <w:color w:val="000000"/>
          <w:lang w:eastAsia="en-US" w:bidi="ar-SA"/>
        </w:rPr>
        <w:t>rozwiązania pozwalające na centralizację danych o pacjencie, zbieranie i przetwarzanie danych typu RWD/RWE (</w:t>
      </w:r>
      <w:r w:rsidRPr="00AC5182">
        <w:rPr>
          <w:rFonts w:asciiTheme="minorHAnsi" w:eastAsiaTheme="minorHAnsi" w:hAnsiTheme="minorHAnsi" w:cstheme="minorHAnsi"/>
          <w:i/>
          <w:iCs/>
          <w:color w:val="000000"/>
          <w:lang w:eastAsia="en-US" w:bidi="ar-SA"/>
        </w:rPr>
        <w:t>Real World Data/</w:t>
      </w:r>
      <w:proofErr w:type="spellStart"/>
      <w:r w:rsidRPr="00AC5182">
        <w:rPr>
          <w:rFonts w:asciiTheme="minorHAnsi" w:eastAsiaTheme="minorHAnsi" w:hAnsiTheme="minorHAnsi" w:cstheme="minorHAnsi"/>
          <w:i/>
          <w:iCs/>
          <w:color w:val="000000"/>
          <w:lang w:eastAsia="en-US" w:bidi="ar-SA"/>
        </w:rPr>
        <w:t>Evidence</w:t>
      </w:r>
      <w:proofErr w:type="spellEnd"/>
      <w:r w:rsidRPr="00AC5182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) oraz zapewniające dostęp do informacji o pacjencie z każdego punktu leczenia; </w:t>
      </w:r>
    </w:p>
    <w:p w14:paraId="5115DB18" w14:textId="77777777" w:rsidR="00AC5182" w:rsidRPr="00AC5182" w:rsidRDefault="00AC5182" w:rsidP="00F42058">
      <w:pPr>
        <w:pStyle w:val="Akapitzlist"/>
        <w:widowControl/>
        <w:numPr>
          <w:ilvl w:val="0"/>
          <w:numId w:val="13"/>
        </w:numPr>
        <w:adjustRightInd w:val="0"/>
        <w:spacing w:after="50"/>
        <w:jc w:val="left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C5182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rozwiązania do zdalnego monitorowania zdrowia pacjentów, skuteczności terapii, przewidywania progresji choroby i wsparcia decyzji terapeutycznych, w szczególności w zakresie chorób układu krążenia i metabolicznych; </w:t>
      </w:r>
    </w:p>
    <w:p w14:paraId="2B5C4123" w14:textId="77777777" w:rsidR="00AC5182" w:rsidRPr="00AC5182" w:rsidRDefault="00AC5182" w:rsidP="00F42058">
      <w:pPr>
        <w:pStyle w:val="Akapitzlist"/>
        <w:widowControl/>
        <w:numPr>
          <w:ilvl w:val="0"/>
          <w:numId w:val="13"/>
        </w:numPr>
        <w:adjustRightInd w:val="0"/>
        <w:spacing w:after="50"/>
        <w:jc w:val="left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C5182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rozwiązania do koordynacji procesu diagnostyki i leczenia pacjenta, szczególnie w zakresie leczenia specjalistycznego i szpitalnego; </w:t>
      </w:r>
    </w:p>
    <w:p w14:paraId="07204AD2" w14:textId="77777777" w:rsidR="00AC5182" w:rsidRPr="00AC5182" w:rsidRDefault="00AC5182" w:rsidP="00F42058">
      <w:pPr>
        <w:pStyle w:val="Akapitzlist"/>
        <w:widowControl/>
        <w:numPr>
          <w:ilvl w:val="0"/>
          <w:numId w:val="13"/>
        </w:numPr>
        <w:adjustRightInd w:val="0"/>
        <w:spacing w:after="50"/>
        <w:jc w:val="left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C5182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metody i urządzenia diagnostyczne do zdalnej i nieinwazyjnej diagnostyki pacjenta, w szczególności w obszarze onkologii i chorób metabolicznych oraz chorób krążenia; </w:t>
      </w:r>
    </w:p>
    <w:p w14:paraId="27996565" w14:textId="77777777" w:rsidR="00AC5182" w:rsidRPr="00AC5182" w:rsidRDefault="00AC5182" w:rsidP="00F42058">
      <w:pPr>
        <w:pStyle w:val="Akapitzlist"/>
        <w:widowControl/>
        <w:numPr>
          <w:ilvl w:val="0"/>
          <w:numId w:val="13"/>
        </w:numPr>
        <w:adjustRightInd w:val="0"/>
        <w:spacing w:after="50"/>
        <w:jc w:val="left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C5182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nowe metody diagnostyczne zwiększające dokładność i szybkość diagnostyki przy akceptowalnym koszcie rynkowym, w szczególności w zakresie onkologii i chorób zakaźnych; </w:t>
      </w:r>
    </w:p>
    <w:p w14:paraId="71C95CEC" w14:textId="77777777" w:rsidR="00AC5182" w:rsidRPr="00AC5182" w:rsidRDefault="00AC5182" w:rsidP="00F42058">
      <w:pPr>
        <w:pStyle w:val="Akapitzlist"/>
        <w:widowControl/>
        <w:numPr>
          <w:ilvl w:val="0"/>
          <w:numId w:val="13"/>
        </w:numPr>
        <w:adjustRightInd w:val="0"/>
        <w:spacing w:after="50"/>
        <w:jc w:val="left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C5182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urządzenia i rozwiązania wspierające leczenie i rehabilitację, w szczególności w obszarach neurologii, kardiologii i pulmonologii; </w:t>
      </w:r>
    </w:p>
    <w:p w14:paraId="35F5F49F" w14:textId="5C721B42" w:rsidR="008C1B9A" w:rsidRPr="00AC5182" w:rsidRDefault="00AC5182" w:rsidP="00F42058">
      <w:pPr>
        <w:pStyle w:val="Akapitzlist"/>
        <w:widowControl/>
        <w:numPr>
          <w:ilvl w:val="0"/>
          <w:numId w:val="13"/>
        </w:numPr>
        <w:adjustRightInd w:val="0"/>
        <w:spacing w:after="50"/>
        <w:jc w:val="left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C5182">
        <w:rPr>
          <w:rFonts w:asciiTheme="minorHAnsi" w:eastAsiaTheme="minorHAnsi" w:hAnsiTheme="minorHAnsi" w:cstheme="minorHAnsi"/>
          <w:color w:val="000000"/>
          <w:lang w:eastAsia="en-US" w:bidi="ar-SA"/>
        </w:rPr>
        <w:lastRenderedPageBreak/>
        <w:t xml:space="preserve">rozwinięcie innowacyjnego rozwiązania będącego obecnie w fazie badań podstawowych w zakresie odpowiadającym potrzebom zdrowotnym kraju. </w:t>
      </w:r>
    </w:p>
    <w:p w14:paraId="0B9AA06B" w14:textId="0DCC4615" w:rsidR="00F71348" w:rsidRPr="0029776A" w:rsidRDefault="00F71348" w:rsidP="00F42058">
      <w:pPr>
        <w:rPr>
          <w:sz w:val="20"/>
          <w:szCs w:val="20"/>
        </w:rPr>
      </w:pPr>
    </w:p>
    <w:p w14:paraId="4608EABC" w14:textId="07A711AD" w:rsidR="00F71348" w:rsidRPr="00F352BF" w:rsidRDefault="00F71348" w:rsidP="00F42058">
      <w:pPr>
        <w:rPr>
          <w:b/>
          <w:bCs/>
          <w:sz w:val="20"/>
          <w:szCs w:val="20"/>
          <w:u w:val="single"/>
        </w:rPr>
      </w:pPr>
      <w:r w:rsidRPr="00F352BF">
        <w:rPr>
          <w:b/>
          <w:bCs/>
          <w:sz w:val="20"/>
          <w:szCs w:val="20"/>
          <w:u w:val="single"/>
        </w:rPr>
        <w:t>Zasady</w:t>
      </w:r>
      <w:r w:rsidR="00AC5182">
        <w:rPr>
          <w:b/>
          <w:bCs/>
          <w:sz w:val="20"/>
          <w:szCs w:val="20"/>
          <w:u w:val="single"/>
        </w:rPr>
        <w:t xml:space="preserve"> konkursu</w:t>
      </w:r>
    </w:p>
    <w:p w14:paraId="1CCD4780" w14:textId="5A7732CC" w:rsidR="00F352BF" w:rsidRDefault="00F352BF" w:rsidP="00F42058">
      <w:pPr>
        <w:pStyle w:val="Akapitzlist"/>
        <w:numPr>
          <w:ilvl w:val="0"/>
          <w:numId w:val="8"/>
        </w:numPr>
        <w:ind w:left="709"/>
        <w:jc w:val="left"/>
        <w:rPr>
          <w:rStyle w:val="Pogrubienie"/>
          <w:b w:val="0"/>
          <w:bCs w:val="0"/>
          <w:sz w:val="20"/>
          <w:szCs w:val="20"/>
        </w:rPr>
      </w:pPr>
      <w:r w:rsidRPr="00F352BF">
        <w:rPr>
          <w:rStyle w:val="Pogrubienie"/>
          <w:b w:val="0"/>
          <w:bCs w:val="0"/>
          <w:sz w:val="20"/>
          <w:szCs w:val="20"/>
        </w:rPr>
        <w:t xml:space="preserve">Przedsięwzięcia planowane do realizacji mogą trwać od </w:t>
      </w:r>
      <w:r w:rsidRPr="00F352BF">
        <w:rPr>
          <w:rStyle w:val="Pogrubienie"/>
          <w:sz w:val="20"/>
          <w:szCs w:val="20"/>
        </w:rPr>
        <w:t>12 do 18 miesięcy</w:t>
      </w:r>
      <w:r w:rsidRPr="00F352BF">
        <w:rPr>
          <w:rStyle w:val="Pogrubienie"/>
          <w:b w:val="0"/>
          <w:bCs w:val="0"/>
          <w:sz w:val="20"/>
          <w:szCs w:val="20"/>
        </w:rPr>
        <w:t xml:space="preserve">, a ostateczny termin zakończeniach ich realizacji </w:t>
      </w:r>
      <w:r w:rsidRPr="00F352BF">
        <w:rPr>
          <w:rStyle w:val="Pogrubienie"/>
          <w:sz w:val="20"/>
          <w:szCs w:val="20"/>
        </w:rPr>
        <w:t>nie może przekroczyć 31.03.2026</w:t>
      </w:r>
      <w:r w:rsidR="002061D2">
        <w:rPr>
          <w:rStyle w:val="Pogrubienie"/>
          <w:sz w:val="20"/>
          <w:szCs w:val="20"/>
        </w:rPr>
        <w:t xml:space="preserve"> </w:t>
      </w:r>
      <w:r w:rsidRPr="00F352BF">
        <w:rPr>
          <w:rStyle w:val="Pogrubienie"/>
          <w:sz w:val="20"/>
          <w:szCs w:val="20"/>
        </w:rPr>
        <w:t>r</w:t>
      </w:r>
      <w:r w:rsidRPr="00F352BF">
        <w:rPr>
          <w:rStyle w:val="Pogrubienie"/>
          <w:b w:val="0"/>
          <w:bCs w:val="0"/>
          <w:sz w:val="20"/>
          <w:szCs w:val="20"/>
        </w:rPr>
        <w:t xml:space="preserve">. </w:t>
      </w:r>
    </w:p>
    <w:p w14:paraId="54C91B27" w14:textId="77777777" w:rsidR="00F352BF" w:rsidRDefault="00F352BF" w:rsidP="00F42058">
      <w:pPr>
        <w:pStyle w:val="Akapitzlist"/>
        <w:ind w:left="709" w:firstLine="0"/>
        <w:jc w:val="left"/>
        <w:rPr>
          <w:rStyle w:val="Pogrubienie"/>
          <w:b w:val="0"/>
          <w:bCs w:val="0"/>
          <w:sz w:val="20"/>
          <w:szCs w:val="20"/>
        </w:rPr>
      </w:pPr>
    </w:p>
    <w:p w14:paraId="26B8F5DE" w14:textId="77777777" w:rsidR="00E14343" w:rsidRDefault="00F352BF" w:rsidP="00F42058">
      <w:pPr>
        <w:pStyle w:val="Akapitzlist"/>
        <w:numPr>
          <w:ilvl w:val="0"/>
          <w:numId w:val="8"/>
        </w:numPr>
        <w:ind w:left="709"/>
        <w:jc w:val="left"/>
        <w:rPr>
          <w:rStyle w:val="Pogrubienie"/>
          <w:b w:val="0"/>
          <w:bCs w:val="0"/>
          <w:sz w:val="20"/>
          <w:szCs w:val="20"/>
        </w:rPr>
      </w:pPr>
      <w:r>
        <w:rPr>
          <w:rStyle w:val="Pogrubienie"/>
          <w:b w:val="0"/>
          <w:bCs w:val="0"/>
          <w:sz w:val="20"/>
          <w:szCs w:val="20"/>
        </w:rPr>
        <w:t xml:space="preserve">Poziom dofinansowania wydatków kwalifikowanych Przedsięwzięcia (wydatki bezpośrednie oraz pośrednie) może wynosić od </w:t>
      </w:r>
      <w:r w:rsidRPr="00F352BF">
        <w:rPr>
          <w:rStyle w:val="Pogrubienie"/>
          <w:sz w:val="20"/>
          <w:szCs w:val="20"/>
        </w:rPr>
        <w:t>2 mln do 15 mln zł.</w:t>
      </w:r>
      <w:r>
        <w:rPr>
          <w:rStyle w:val="Pogrubienie"/>
          <w:b w:val="0"/>
          <w:bCs w:val="0"/>
          <w:sz w:val="20"/>
          <w:szCs w:val="20"/>
        </w:rPr>
        <w:t xml:space="preserve"> </w:t>
      </w:r>
    </w:p>
    <w:p w14:paraId="20BD16DF" w14:textId="77777777" w:rsidR="00E14343" w:rsidRPr="00E14343" w:rsidRDefault="00E14343" w:rsidP="00F42058">
      <w:pPr>
        <w:pStyle w:val="Akapitzlist"/>
        <w:jc w:val="left"/>
        <w:rPr>
          <w:rFonts w:ascii="Garamond" w:eastAsiaTheme="minorHAnsi" w:hAnsi="Garamond" w:cs="Garamond"/>
          <w:color w:val="000000"/>
          <w:lang w:eastAsia="en-US" w:bidi="ar-SA"/>
        </w:rPr>
      </w:pPr>
    </w:p>
    <w:p w14:paraId="40811314" w14:textId="6013B4B0" w:rsidR="00E14343" w:rsidRPr="00E14343" w:rsidRDefault="00E14343" w:rsidP="00F42058">
      <w:pPr>
        <w:pStyle w:val="Akapitzlist"/>
        <w:numPr>
          <w:ilvl w:val="0"/>
          <w:numId w:val="8"/>
        </w:numPr>
        <w:ind w:left="709"/>
        <w:jc w:val="left"/>
        <w:rPr>
          <w:sz w:val="18"/>
          <w:szCs w:val="18"/>
        </w:rPr>
      </w:pPr>
      <w:r w:rsidRPr="00E14343">
        <w:rPr>
          <w:rFonts w:eastAsiaTheme="minorHAnsi" w:cs="Garamond"/>
          <w:color w:val="000000"/>
          <w:sz w:val="20"/>
          <w:szCs w:val="20"/>
          <w:lang w:eastAsia="en-US" w:bidi="ar-SA"/>
        </w:rPr>
        <w:t>Szczegółowe informacje dotyczące wydatków kwalifikowanych i niekwalifikowanych zawarto w Załączniku nr 7 do Regulaminu</w:t>
      </w:r>
      <w:r>
        <w:rPr>
          <w:rFonts w:eastAsiaTheme="minorHAnsi" w:cs="Garamond"/>
          <w:color w:val="000000"/>
          <w:sz w:val="20"/>
          <w:szCs w:val="20"/>
          <w:lang w:eastAsia="en-US" w:bidi="ar-SA"/>
        </w:rPr>
        <w:t xml:space="preserve"> –</w:t>
      </w:r>
      <w:r w:rsidRPr="00E14343">
        <w:rPr>
          <w:rFonts w:eastAsiaTheme="minorHAnsi" w:cs="Garamond"/>
          <w:color w:val="000000"/>
          <w:sz w:val="20"/>
          <w:szCs w:val="20"/>
          <w:lang w:eastAsia="en-US" w:bidi="ar-SA"/>
        </w:rPr>
        <w:t xml:space="preserve"> </w:t>
      </w:r>
      <w:r w:rsidRPr="00E14343">
        <w:rPr>
          <w:rFonts w:eastAsiaTheme="minorHAnsi" w:cs="Garamond"/>
          <w:i/>
          <w:iCs/>
          <w:color w:val="000000"/>
          <w:sz w:val="20"/>
          <w:szCs w:val="20"/>
          <w:lang w:eastAsia="en-US" w:bidi="ar-SA"/>
        </w:rPr>
        <w:t>Katalog wydatków kwalifikowalnych</w:t>
      </w:r>
      <w:r>
        <w:rPr>
          <w:rFonts w:eastAsiaTheme="minorHAnsi" w:cs="Garamond"/>
          <w:color w:val="000000"/>
          <w:sz w:val="20"/>
          <w:szCs w:val="20"/>
          <w:lang w:eastAsia="en-US" w:bidi="ar-SA"/>
        </w:rPr>
        <w:t>, a w</w:t>
      </w:r>
      <w:r w:rsidRPr="00E14343">
        <w:rPr>
          <w:rFonts w:eastAsiaTheme="minorHAnsi" w:cs="Garamond"/>
          <w:color w:val="000000"/>
          <w:sz w:val="20"/>
          <w:szCs w:val="20"/>
          <w:lang w:eastAsia="en-US" w:bidi="ar-SA"/>
        </w:rPr>
        <w:t xml:space="preserve"> ramach Przedsięwzięcia wydatki będą rozliczane na podstawie: </w:t>
      </w:r>
    </w:p>
    <w:p w14:paraId="75044FE0" w14:textId="1594EC00" w:rsidR="00E14343" w:rsidRPr="00E14343" w:rsidRDefault="00E14343" w:rsidP="00F42058">
      <w:pPr>
        <w:widowControl/>
        <w:numPr>
          <w:ilvl w:val="0"/>
          <w:numId w:val="11"/>
        </w:numPr>
        <w:adjustRightInd w:val="0"/>
        <w:spacing w:after="50"/>
        <w:ind w:left="1276"/>
        <w:rPr>
          <w:rFonts w:eastAsiaTheme="minorHAnsi" w:cs="Garamond"/>
          <w:color w:val="000000"/>
          <w:sz w:val="20"/>
          <w:szCs w:val="20"/>
          <w:lang w:eastAsia="en-US" w:bidi="ar-SA"/>
        </w:rPr>
      </w:pPr>
      <w:r w:rsidRPr="00E14343">
        <w:rPr>
          <w:rFonts w:eastAsiaTheme="minorHAnsi" w:cs="Garamond"/>
          <w:b/>
          <w:bCs/>
          <w:color w:val="000000"/>
          <w:sz w:val="20"/>
          <w:szCs w:val="20"/>
          <w:lang w:eastAsia="en-US" w:bidi="ar-SA"/>
        </w:rPr>
        <w:t xml:space="preserve">wydatków rzeczywiście poniesionych </w:t>
      </w:r>
      <w:r w:rsidRPr="00E14343">
        <w:rPr>
          <w:rFonts w:eastAsiaTheme="minorHAnsi" w:cs="Garamond"/>
          <w:color w:val="000000"/>
          <w:sz w:val="20"/>
          <w:szCs w:val="20"/>
          <w:lang w:eastAsia="en-US" w:bidi="ar-SA"/>
        </w:rPr>
        <w:t>(</w:t>
      </w:r>
      <w:r w:rsidRPr="00E14343">
        <w:rPr>
          <w:rFonts w:eastAsiaTheme="minorHAnsi" w:cs="Garamond"/>
          <w:b/>
          <w:bCs/>
          <w:sz w:val="20"/>
          <w:szCs w:val="20"/>
          <w:lang w:eastAsia="en-US" w:bidi="ar-SA"/>
        </w:rPr>
        <w:t>wynagrodzenia zespołu badawczego</w:t>
      </w:r>
      <w:r>
        <w:rPr>
          <w:rStyle w:val="Odwoanieprzypisudolnego"/>
          <w:rFonts w:eastAsiaTheme="minorHAnsi" w:cs="Garamond"/>
          <w:b/>
          <w:bCs/>
          <w:sz w:val="20"/>
          <w:szCs w:val="20"/>
          <w:lang w:eastAsia="en-US" w:bidi="ar-SA"/>
        </w:rPr>
        <w:footnoteReference w:id="1"/>
      </w:r>
      <w:r w:rsidRPr="00E14343">
        <w:rPr>
          <w:rFonts w:eastAsiaTheme="minorHAnsi" w:cs="Garamond"/>
          <w:b/>
          <w:bCs/>
          <w:sz w:val="20"/>
          <w:szCs w:val="20"/>
          <w:lang w:eastAsia="en-US" w:bidi="ar-SA"/>
        </w:rPr>
        <w:t>,</w:t>
      </w:r>
      <w:r w:rsidRPr="00E14343">
        <w:rPr>
          <w:rFonts w:eastAsiaTheme="minorHAnsi" w:cs="Garamond"/>
          <w:sz w:val="20"/>
          <w:szCs w:val="20"/>
          <w:lang w:eastAsia="en-US" w:bidi="ar-SA"/>
        </w:rPr>
        <w:t xml:space="preserve"> </w:t>
      </w:r>
      <w:r w:rsidRPr="00E14343">
        <w:rPr>
          <w:rFonts w:eastAsiaTheme="minorHAnsi" w:cs="Garamond"/>
          <w:color w:val="000000"/>
          <w:sz w:val="20"/>
          <w:szCs w:val="20"/>
          <w:lang w:eastAsia="en-US" w:bidi="ar-SA"/>
        </w:rPr>
        <w:t xml:space="preserve">środki trwałe i wartości niematerialne i prawne, pozostałe wydatki bezpośrednie, działania informacyjno-promocyjne, usługi zewnętrzne (podwykonawstwo)), </w:t>
      </w:r>
    </w:p>
    <w:p w14:paraId="417931D8" w14:textId="2ECEA650" w:rsidR="00E14343" w:rsidRDefault="00E14343" w:rsidP="00F42058">
      <w:pPr>
        <w:widowControl/>
        <w:numPr>
          <w:ilvl w:val="0"/>
          <w:numId w:val="11"/>
        </w:numPr>
        <w:adjustRightInd w:val="0"/>
        <w:spacing w:after="50"/>
        <w:ind w:left="1276"/>
        <w:rPr>
          <w:rFonts w:eastAsiaTheme="minorHAnsi" w:cs="Garamond"/>
          <w:color w:val="000000"/>
          <w:sz w:val="20"/>
          <w:szCs w:val="20"/>
          <w:lang w:eastAsia="en-US" w:bidi="ar-SA"/>
        </w:rPr>
      </w:pPr>
      <w:r w:rsidRPr="00E14343">
        <w:rPr>
          <w:rFonts w:eastAsiaTheme="minorHAnsi" w:cs="Garamond"/>
          <w:b/>
          <w:bCs/>
          <w:color w:val="000000"/>
          <w:sz w:val="20"/>
          <w:szCs w:val="20"/>
          <w:lang w:eastAsia="en-US" w:bidi="ar-SA"/>
        </w:rPr>
        <w:t xml:space="preserve">kosztów ryczałtowych, </w:t>
      </w:r>
      <w:r w:rsidRPr="00E14343">
        <w:rPr>
          <w:rFonts w:eastAsiaTheme="minorHAnsi" w:cs="Garamond"/>
          <w:color w:val="000000"/>
          <w:sz w:val="20"/>
          <w:szCs w:val="20"/>
          <w:lang w:eastAsia="en-US" w:bidi="ar-SA"/>
        </w:rPr>
        <w:t xml:space="preserve">tj. kosztów pośrednich naliczanych przy zastosowaniu maksymalnie </w:t>
      </w:r>
      <w:r w:rsidRPr="00E14343">
        <w:rPr>
          <w:rFonts w:eastAsiaTheme="minorHAnsi" w:cs="Garamond"/>
          <w:b/>
          <w:bCs/>
          <w:color w:val="000000"/>
          <w:sz w:val="20"/>
          <w:szCs w:val="20"/>
          <w:lang w:eastAsia="en-US" w:bidi="ar-SA"/>
        </w:rPr>
        <w:t>25% stawki ryczałtowej</w:t>
      </w:r>
      <w:r w:rsidRPr="00E14343">
        <w:rPr>
          <w:rFonts w:eastAsiaTheme="minorHAnsi" w:cs="Garamond"/>
          <w:color w:val="000000"/>
          <w:sz w:val="20"/>
          <w:szCs w:val="20"/>
          <w:lang w:eastAsia="en-US" w:bidi="ar-SA"/>
        </w:rPr>
        <w:t xml:space="preserve"> od rzeczywiście poniesionych wydatków wymienionych w punkcie </w:t>
      </w:r>
      <w:r w:rsidR="002061D2">
        <w:rPr>
          <w:rFonts w:eastAsiaTheme="minorHAnsi" w:cs="Garamond"/>
          <w:color w:val="000000"/>
          <w:sz w:val="20"/>
          <w:szCs w:val="20"/>
          <w:lang w:eastAsia="en-US" w:bidi="ar-SA"/>
        </w:rPr>
        <w:t>wyżej</w:t>
      </w:r>
      <w:r w:rsidRPr="00E14343">
        <w:rPr>
          <w:rFonts w:eastAsiaTheme="minorHAnsi" w:cs="Garamond"/>
          <w:color w:val="000000"/>
          <w:sz w:val="20"/>
          <w:szCs w:val="20"/>
          <w:lang w:eastAsia="en-US" w:bidi="ar-SA"/>
        </w:rPr>
        <w:t xml:space="preserve">) </w:t>
      </w:r>
      <w:r w:rsidRPr="00E14343">
        <w:rPr>
          <w:rFonts w:eastAsiaTheme="minorHAnsi" w:cs="Garamond"/>
          <w:b/>
          <w:bCs/>
          <w:color w:val="000000"/>
          <w:sz w:val="20"/>
          <w:szCs w:val="20"/>
          <w:lang w:eastAsia="en-US" w:bidi="ar-SA"/>
        </w:rPr>
        <w:t>z wyłączeniem kosztów podwykonawstwa.</w:t>
      </w:r>
      <w:r w:rsidRPr="00E14343">
        <w:rPr>
          <w:rFonts w:eastAsiaTheme="minorHAnsi" w:cs="Garamond"/>
          <w:color w:val="000000"/>
          <w:sz w:val="20"/>
          <w:szCs w:val="20"/>
          <w:lang w:eastAsia="en-US" w:bidi="ar-SA"/>
        </w:rPr>
        <w:t xml:space="preserve"> </w:t>
      </w:r>
    </w:p>
    <w:p w14:paraId="5D9E3380" w14:textId="77777777" w:rsidR="008C1B9A" w:rsidRDefault="0078405F" w:rsidP="00F42058">
      <w:pPr>
        <w:widowControl/>
        <w:numPr>
          <w:ilvl w:val="0"/>
          <w:numId w:val="11"/>
        </w:numPr>
        <w:adjustRightInd w:val="0"/>
        <w:spacing w:after="50"/>
        <w:ind w:left="1276"/>
        <w:rPr>
          <w:rFonts w:eastAsiaTheme="minorHAnsi" w:cs="Garamond"/>
          <w:color w:val="000000"/>
          <w:sz w:val="20"/>
          <w:szCs w:val="20"/>
          <w:lang w:eastAsia="en-US" w:bidi="ar-SA"/>
        </w:rPr>
      </w:pPr>
      <w:r>
        <w:rPr>
          <w:rFonts w:eastAsiaTheme="minorHAnsi" w:cs="Garamond"/>
          <w:color w:val="000000"/>
          <w:sz w:val="20"/>
          <w:szCs w:val="20"/>
          <w:lang w:eastAsia="en-US" w:bidi="ar-SA"/>
        </w:rPr>
        <w:t xml:space="preserve">Koszty środków trwałych i wartości niematerialnych i prawnych, niezależnie od sposobu finansowania, nie mogą przekroczyć </w:t>
      </w:r>
      <w:r w:rsidRPr="0078405F">
        <w:rPr>
          <w:rFonts w:eastAsiaTheme="minorHAnsi" w:cs="Garamond"/>
          <w:b/>
          <w:bCs/>
          <w:color w:val="000000"/>
          <w:sz w:val="20"/>
          <w:szCs w:val="20"/>
          <w:lang w:eastAsia="en-US" w:bidi="ar-SA"/>
        </w:rPr>
        <w:t>70% sumy pozostałych kategorii wydatków bezpośrednich</w:t>
      </w:r>
      <w:r>
        <w:rPr>
          <w:rFonts w:eastAsiaTheme="minorHAnsi" w:cs="Garamond"/>
          <w:color w:val="000000"/>
          <w:sz w:val="20"/>
          <w:szCs w:val="20"/>
          <w:lang w:eastAsia="en-US" w:bidi="ar-SA"/>
        </w:rPr>
        <w:t xml:space="preserve">. </w:t>
      </w:r>
    </w:p>
    <w:p w14:paraId="49C2A97C" w14:textId="77777777" w:rsidR="008C1B9A" w:rsidRPr="008C1B9A" w:rsidRDefault="008C1B9A" w:rsidP="00F42058">
      <w:pPr>
        <w:widowControl/>
        <w:numPr>
          <w:ilvl w:val="0"/>
          <w:numId w:val="11"/>
        </w:numPr>
        <w:adjustRightInd w:val="0"/>
        <w:spacing w:after="50"/>
        <w:ind w:left="1276" w:hanging="357"/>
        <w:rPr>
          <w:rFonts w:eastAsiaTheme="minorHAnsi" w:cs="Garamond"/>
          <w:color w:val="000000"/>
          <w:sz w:val="20"/>
          <w:szCs w:val="20"/>
          <w:lang w:eastAsia="en-US" w:bidi="ar-SA"/>
        </w:rPr>
      </w:pPr>
      <w:r w:rsidRPr="008C1B9A">
        <w:rPr>
          <w:b/>
          <w:bCs/>
          <w:sz w:val="20"/>
          <w:szCs w:val="20"/>
          <w:u w:val="single"/>
        </w:rPr>
        <w:t>VAT w projekcie jest kosztem niekwalifikowanym</w:t>
      </w:r>
    </w:p>
    <w:p w14:paraId="2E61393B" w14:textId="514E73F0" w:rsidR="00F352BF" w:rsidRPr="008C1B9A" w:rsidRDefault="008C1B9A" w:rsidP="00F42058">
      <w:pPr>
        <w:widowControl/>
        <w:numPr>
          <w:ilvl w:val="0"/>
          <w:numId w:val="11"/>
        </w:numPr>
        <w:adjustRightInd w:val="0"/>
        <w:spacing w:after="50"/>
        <w:ind w:left="1276"/>
        <w:rPr>
          <w:rStyle w:val="Pogrubienie"/>
          <w:rFonts w:eastAsiaTheme="minorHAnsi" w:cs="Garamond"/>
          <w:b w:val="0"/>
          <w:bCs w:val="0"/>
          <w:color w:val="000000"/>
          <w:sz w:val="20"/>
          <w:szCs w:val="20"/>
          <w:lang w:eastAsia="en-US" w:bidi="ar-SA"/>
        </w:rPr>
      </w:pPr>
      <w:r w:rsidRPr="008C1B9A">
        <w:rPr>
          <w:rStyle w:val="Pogrubienie"/>
          <w:b w:val="0"/>
          <w:bCs w:val="0"/>
          <w:sz w:val="20"/>
          <w:szCs w:val="20"/>
        </w:rPr>
        <w:t xml:space="preserve">Początkiem okresu kwalifikowalności wydatków jest dzień następny po dniu złożenia Wniosku o objęcie wsparciem. </w:t>
      </w:r>
    </w:p>
    <w:p w14:paraId="5BD19C7F" w14:textId="279BB0C6" w:rsidR="00F352BF" w:rsidRDefault="00F352BF" w:rsidP="00F42058">
      <w:pPr>
        <w:rPr>
          <w:rStyle w:val="Pogrubienie"/>
          <w:b w:val="0"/>
          <w:bCs w:val="0"/>
          <w:sz w:val="20"/>
          <w:szCs w:val="20"/>
        </w:rPr>
      </w:pPr>
    </w:p>
    <w:p w14:paraId="1F633EF7" w14:textId="1533778A" w:rsidR="00AC5182" w:rsidRPr="00AC5182" w:rsidRDefault="00AC5182" w:rsidP="00F42058">
      <w:pPr>
        <w:rPr>
          <w:sz w:val="20"/>
          <w:szCs w:val="20"/>
        </w:rPr>
      </w:pPr>
      <w:r w:rsidRPr="00AC5182">
        <w:rPr>
          <w:rStyle w:val="Pogrubienie"/>
          <w:sz w:val="20"/>
          <w:szCs w:val="20"/>
        </w:rPr>
        <w:t>Nabory wniosków:</w:t>
      </w:r>
      <w:r w:rsidRPr="00AC5182">
        <w:rPr>
          <w:sz w:val="20"/>
          <w:szCs w:val="20"/>
        </w:rPr>
        <w:t xml:space="preserve"> </w:t>
      </w:r>
      <w:r w:rsidR="00E65CDB">
        <w:rPr>
          <w:sz w:val="20"/>
          <w:szCs w:val="20"/>
        </w:rPr>
        <w:t xml:space="preserve">wnioski wraz z załącznikami </w:t>
      </w:r>
      <w:r w:rsidRPr="00AC5182">
        <w:rPr>
          <w:sz w:val="20"/>
          <w:szCs w:val="20"/>
        </w:rPr>
        <w:t xml:space="preserve">należy złożyć </w:t>
      </w:r>
      <w:r w:rsidRPr="00AC5182">
        <w:rPr>
          <w:b/>
          <w:bCs/>
          <w:sz w:val="20"/>
          <w:szCs w:val="20"/>
        </w:rPr>
        <w:t>do 12 sierpnia 2024 r. do godziny 12:00:59</w:t>
      </w:r>
      <w:r w:rsidRPr="00AC5182">
        <w:rPr>
          <w:sz w:val="20"/>
          <w:szCs w:val="20"/>
        </w:rPr>
        <w:t xml:space="preserve"> wyłącznie w formie dokumentu elektronicznego za pośrednictwem Systemu teleinformatycznego CST2021.</w:t>
      </w:r>
    </w:p>
    <w:p w14:paraId="1AD95A20" w14:textId="77777777" w:rsidR="00AC5182" w:rsidRPr="00AC5182" w:rsidRDefault="00AC5182" w:rsidP="00F42058">
      <w:pPr>
        <w:rPr>
          <w:rStyle w:val="Pogrubienie"/>
          <w:sz w:val="20"/>
          <w:szCs w:val="20"/>
        </w:rPr>
      </w:pPr>
    </w:p>
    <w:p w14:paraId="6E95EE59" w14:textId="77777777" w:rsidR="00F352BF" w:rsidRDefault="00F352BF" w:rsidP="00F42058">
      <w:pPr>
        <w:rPr>
          <w:rStyle w:val="Pogrubienie"/>
          <w:b w:val="0"/>
          <w:bCs w:val="0"/>
          <w:sz w:val="20"/>
          <w:szCs w:val="20"/>
        </w:rPr>
      </w:pPr>
    </w:p>
    <w:p w14:paraId="3F581B45" w14:textId="3226EC3D" w:rsidR="00AC5182" w:rsidRPr="00AC5182" w:rsidRDefault="00AC5182" w:rsidP="00F42058">
      <w:pPr>
        <w:rPr>
          <w:b/>
          <w:bCs/>
          <w:color w:val="C0504D" w:themeColor="accent2"/>
          <w:sz w:val="20"/>
          <w:szCs w:val="20"/>
          <w:u w:val="single"/>
        </w:rPr>
      </w:pPr>
      <w:r>
        <w:rPr>
          <w:b/>
          <w:bCs/>
          <w:color w:val="C0504D" w:themeColor="accent2"/>
          <w:sz w:val="20"/>
          <w:szCs w:val="20"/>
          <w:u w:val="single"/>
        </w:rPr>
        <w:t>!</w:t>
      </w:r>
      <w:r w:rsidR="006D09D9">
        <w:rPr>
          <w:b/>
          <w:bCs/>
          <w:color w:val="C0504D" w:themeColor="accent2"/>
          <w:sz w:val="20"/>
          <w:szCs w:val="20"/>
          <w:u w:val="single"/>
        </w:rPr>
        <w:t xml:space="preserve"> </w:t>
      </w:r>
      <w:r w:rsidRPr="00AC5182">
        <w:rPr>
          <w:b/>
          <w:bCs/>
          <w:color w:val="C0504D" w:themeColor="accent2"/>
          <w:sz w:val="20"/>
          <w:szCs w:val="20"/>
          <w:u w:val="single"/>
        </w:rPr>
        <w:t>Zasady</w:t>
      </w:r>
      <w:r w:rsidR="006D09D9">
        <w:rPr>
          <w:b/>
          <w:bCs/>
          <w:color w:val="C0504D" w:themeColor="accent2"/>
          <w:sz w:val="20"/>
          <w:szCs w:val="20"/>
          <w:u w:val="single"/>
        </w:rPr>
        <w:t xml:space="preserve"> </w:t>
      </w:r>
      <w:r w:rsidRPr="00AC5182">
        <w:rPr>
          <w:b/>
          <w:bCs/>
          <w:color w:val="C0504D" w:themeColor="accent2"/>
          <w:sz w:val="20"/>
          <w:szCs w:val="20"/>
          <w:u w:val="single"/>
        </w:rPr>
        <w:t>złożenia na UW</w:t>
      </w:r>
      <w:r>
        <w:rPr>
          <w:b/>
          <w:bCs/>
          <w:color w:val="C0504D" w:themeColor="accent2"/>
          <w:sz w:val="20"/>
          <w:szCs w:val="20"/>
          <w:u w:val="single"/>
        </w:rPr>
        <w:t>!</w:t>
      </w:r>
    </w:p>
    <w:p w14:paraId="0B410A09" w14:textId="77777777" w:rsidR="00AC5182" w:rsidRDefault="00AC5182" w:rsidP="00F42058">
      <w:pPr>
        <w:rPr>
          <w:rStyle w:val="Pogrubienie"/>
          <w:color w:val="C0504D" w:themeColor="accent2"/>
          <w:sz w:val="20"/>
          <w:szCs w:val="20"/>
        </w:rPr>
      </w:pPr>
    </w:p>
    <w:p w14:paraId="654BD242" w14:textId="28CE18E7" w:rsidR="00AC5182" w:rsidRDefault="00AC5182" w:rsidP="00F42058">
      <w:pPr>
        <w:rPr>
          <w:color w:val="C0504D" w:themeColor="accent2"/>
          <w:sz w:val="20"/>
          <w:szCs w:val="20"/>
        </w:rPr>
      </w:pPr>
    </w:p>
    <w:p w14:paraId="059E111D" w14:textId="4DBEE3FA" w:rsidR="00AC5182" w:rsidRDefault="00AC5182" w:rsidP="00F42058">
      <w:pPr>
        <w:rPr>
          <w:sz w:val="20"/>
          <w:szCs w:val="20"/>
        </w:rPr>
      </w:pPr>
      <w:r w:rsidRPr="00AC5182">
        <w:rPr>
          <w:sz w:val="20"/>
          <w:szCs w:val="20"/>
        </w:rPr>
        <w:t xml:space="preserve">W związku z ograniczeniami konkursu, określającymi, iż każdy z Wnioskodawców uprawniony jest do </w:t>
      </w:r>
      <w:r w:rsidRPr="00AC5182">
        <w:rPr>
          <w:b/>
          <w:bCs/>
          <w:sz w:val="20"/>
          <w:szCs w:val="20"/>
        </w:rPr>
        <w:t xml:space="preserve">złożenia maksymalnie </w:t>
      </w:r>
      <w:r w:rsidRPr="00AC5182">
        <w:rPr>
          <w:b/>
          <w:bCs/>
          <w:sz w:val="20"/>
          <w:szCs w:val="20"/>
          <w:u w:val="single"/>
        </w:rPr>
        <w:t>5 Wniosków</w:t>
      </w:r>
      <w:r w:rsidRPr="00AC5182">
        <w:rPr>
          <w:b/>
          <w:bCs/>
          <w:sz w:val="20"/>
          <w:szCs w:val="20"/>
        </w:rPr>
        <w:t xml:space="preserve"> </w:t>
      </w:r>
      <w:r w:rsidRPr="00BC61A5">
        <w:rPr>
          <w:sz w:val="20"/>
          <w:szCs w:val="20"/>
        </w:rPr>
        <w:t>o objęcie wsparciem</w:t>
      </w:r>
      <w:r>
        <w:rPr>
          <w:sz w:val="20"/>
          <w:szCs w:val="20"/>
        </w:rPr>
        <w:t xml:space="preserve">, wprowadza się następujące zasady: </w:t>
      </w:r>
    </w:p>
    <w:p w14:paraId="737DBE07" w14:textId="39F00662" w:rsidR="00AC5182" w:rsidRDefault="00AC5182" w:rsidP="00F42058">
      <w:pPr>
        <w:rPr>
          <w:sz w:val="20"/>
          <w:szCs w:val="20"/>
        </w:rPr>
      </w:pPr>
    </w:p>
    <w:p w14:paraId="57D278B0" w14:textId="235921F3" w:rsidR="0014734A" w:rsidRPr="00BC61A5" w:rsidRDefault="00AC5182" w:rsidP="00F42058">
      <w:pPr>
        <w:pStyle w:val="Akapitzlist"/>
        <w:numPr>
          <w:ilvl w:val="0"/>
          <w:numId w:val="18"/>
        </w:numPr>
        <w:ind w:left="426"/>
        <w:jc w:val="left"/>
        <w:rPr>
          <w:rFonts w:cs="Calibri"/>
          <w:bCs/>
          <w:sz w:val="20"/>
          <w:szCs w:val="20"/>
          <w:u w:val="single"/>
        </w:rPr>
      </w:pPr>
      <w:r w:rsidRPr="00BC61A5">
        <w:rPr>
          <w:rFonts w:cs="Calibri"/>
          <w:bCs/>
          <w:sz w:val="20"/>
          <w:szCs w:val="20"/>
        </w:rPr>
        <w:t xml:space="preserve">Jeśli </w:t>
      </w:r>
      <w:r w:rsidR="003C0FA2">
        <w:rPr>
          <w:rFonts w:cs="Calibri"/>
          <w:bCs/>
          <w:sz w:val="20"/>
          <w:szCs w:val="20"/>
        </w:rPr>
        <w:t>są</w:t>
      </w:r>
      <w:r w:rsidR="003C0FA2" w:rsidRPr="00BC61A5">
        <w:rPr>
          <w:rFonts w:cs="Calibri"/>
          <w:bCs/>
          <w:sz w:val="20"/>
          <w:szCs w:val="20"/>
        </w:rPr>
        <w:t xml:space="preserve"> </w:t>
      </w:r>
      <w:r w:rsidRPr="00BC61A5">
        <w:rPr>
          <w:rFonts w:cstheme="minorHAnsi"/>
          <w:bCs/>
          <w:sz w:val="20"/>
          <w:szCs w:val="20"/>
        </w:rPr>
        <w:t xml:space="preserve">Państwo zainteresowani złożeniem wniosku w naborze prosimy o </w:t>
      </w:r>
      <w:r w:rsidRPr="00E65CDB">
        <w:rPr>
          <w:rFonts w:cstheme="minorHAnsi"/>
          <w:b/>
          <w:sz w:val="20"/>
          <w:szCs w:val="20"/>
        </w:rPr>
        <w:t>PILNY</w:t>
      </w:r>
      <w:r w:rsidRPr="00BC61A5">
        <w:rPr>
          <w:rFonts w:cstheme="minorHAnsi"/>
          <w:bCs/>
          <w:sz w:val="20"/>
          <w:szCs w:val="20"/>
        </w:rPr>
        <w:t xml:space="preserve"> kontakt </w:t>
      </w:r>
      <w:r w:rsidR="00E65CDB">
        <w:rPr>
          <w:rFonts w:cstheme="minorHAnsi"/>
          <w:bCs/>
          <w:sz w:val="20"/>
          <w:szCs w:val="20"/>
        </w:rPr>
        <w:br/>
      </w:r>
      <w:r w:rsidRPr="00BC61A5">
        <w:rPr>
          <w:rFonts w:cstheme="minorHAnsi"/>
          <w:bCs/>
          <w:sz w:val="20"/>
          <w:szCs w:val="20"/>
        </w:rPr>
        <w:t>z Biurem ds. Wspomagania Rozwoju</w:t>
      </w:r>
      <w:r w:rsidR="00E65CDB">
        <w:rPr>
          <w:rFonts w:cstheme="minorHAnsi"/>
          <w:bCs/>
          <w:sz w:val="20"/>
          <w:szCs w:val="20"/>
        </w:rPr>
        <w:t xml:space="preserve"> UW</w:t>
      </w:r>
      <w:r w:rsidRPr="00BC61A5">
        <w:rPr>
          <w:rFonts w:cstheme="minorHAnsi"/>
          <w:bCs/>
          <w:sz w:val="20"/>
          <w:szCs w:val="20"/>
        </w:rPr>
        <w:t xml:space="preserve"> pod adresem </w:t>
      </w:r>
      <w:hyperlink r:id="rId10" w:history="1">
        <w:r w:rsidRPr="00BC61A5">
          <w:rPr>
            <w:rStyle w:val="Hipercze"/>
            <w:rFonts w:cstheme="minorHAnsi"/>
            <w:bCs/>
            <w:sz w:val="20"/>
            <w:szCs w:val="20"/>
          </w:rPr>
          <w:t>bwr@uw.edu.pl</w:t>
        </w:r>
      </w:hyperlink>
      <w:r w:rsidRPr="00BC61A5">
        <w:rPr>
          <w:bCs/>
          <w:sz w:val="20"/>
          <w:szCs w:val="20"/>
        </w:rPr>
        <w:t>, z informacją</w:t>
      </w:r>
      <w:r w:rsidR="00BC61A5" w:rsidRPr="00BC61A5">
        <w:rPr>
          <w:bCs/>
          <w:sz w:val="20"/>
          <w:szCs w:val="20"/>
        </w:rPr>
        <w:t xml:space="preserve"> o</w:t>
      </w:r>
      <w:r w:rsidR="00BC61A5" w:rsidRPr="00BC61A5">
        <w:rPr>
          <w:bCs/>
          <w:sz w:val="20"/>
        </w:rPr>
        <w:t xml:space="preserve"> zamiarze</w:t>
      </w:r>
      <w:r w:rsidR="00BC61A5" w:rsidRPr="00BC61A5">
        <w:rPr>
          <w:bCs/>
          <w:sz w:val="20"/>
          <w:szCs w:val="20"/>
        </w:rPr>
        <w:t xml:space="preserve"> aplikacji; </w:t>
      </w:r>
    </w:p>
    <w:p w14:paraId="28479B77" w14:textId="337C336B" w:rsidR="00BC61A5" w:rsidRPr="00BC61A5" w:rsidRDefault="0014734A" w:rsidP="00F42058">
      <w:pPr>
        <w:pStyle w:val="Akapitzlist"/>
        <w:numPr>
          <w:ilvl w:val="0"/>
          <w:numId w:val="18"/>
        </w:numPr>
        <w:ind w:left="426"/>
        <w:jc w:val="left"/>
        <w:rPr>
          <w:rFonts w:ascii="Calibri" w:hAnsi="Calibri" w:cs="Calibri"/>
          <w:bCs/>
          <w:color w:val="FF0000"/>
          <w:u w:val="single"/>
        </w:rPr>
      </w:pPr>
      <w:r w:rsidRPr="00BC61A5">
        <w:rPr>
          <w:bCs/>
          <w:sz w:val="20"/>
          <w:szCs w:val="20"/>
        </w:rPr>
        <w:t xml:space="preserve">Przedłożenie do BWR na wyżej wskazany adres </w:t>
      </w:r>
      <w:r w:rsidR="006D09D9">
        <w:rPr>
          <w:bCs/>
          <w:sz w:val="20"/>
          <w:szCs w:val="20"/>
        </w:rPr>
        <w:t>e-mail</w:t>
      </w:r>
      <w:r w:rsidRPr="00BC61A5">
        <w:rPr>
          <w:bCs/>
          <w:sz w:val="20"/>
          <w:szCs w:val="20"/>
        </w:rPr>
        <w:t xml:space="preserve"> informacji</w:t>
      </w:r>
      <w:r w:rsidR="006D09D9">
        <w:rPr>
          <w:bCs/>
          <w:sz w:val="20"/>
          <w:szCs w:val="20"/>
        </w:rPr>
        <w:t xml:space="preserve"> (wzór do pobrania ze strony BWR z informacją o konkursie)</w:t>
      </w:r>
      <w:r w:rsidR="00BC61A5">
        <w:rPr>
          <w:bCs/>
          <w:sz w:val="20"/>
          <w:szCs w:val="20"/>
        </w:rPr>
        <w:t xml:space="preserve"> </w:t>
      </w:r>
      <w:r w:rsidRPr="00BC61A5">
        <w:rPr>
          <w:bCs/>
          <w:sz w:val="20"/>
          <w:szCs w:val="20"/>
        </w:rPr>
        <w:t xml:space="preserve">dot. planowanego projektu – </w:t>
      </w:r>
      <w:r w:rsidRPr="00BC61A5">
        <w:rPr>
          <w:bCs/>
          <w:color w:val="FF0000"/>
          <w:sz w:val="20"/>
          <w:szCs w:val="20"/>
          <w:u w:val="single"/>
        </w:rPr>
        <w:t xml:space="preserve">najpóźniej do </w:t>
      </w:r>
      <w:r w:rsidR="00375A34" w:rsidRPr="00454392">
        <w:rPr>
          <w:rFonts w:cs="Calibri"/>
          <w:b/>
          <w:color w:val="FF0000"/>
          <w:sz w:val="20"/>
          <w:szCs w:val="20"/>
          <w:u w:val="single"/>
        </w:rPr>
        <w:t>1</w:t>
      </w:r>
      <w:r w:rsidR="00BA2496" w:rsidRPr="00454392">
        <w:rPr>
          <w:rFonts w:cs="Calibri"/>
          <w:b/>
          <w:color w:val="FF0000"/>
          <w:sz w:val="20"/>
          <w:szCs w:val="20"/>
          <w:u w:val="single"/>
        </w:rPr>
        <w:t>5</w:t>
      </w:r>
      <w:r w:rsidR="00BC61A5" w:rsidRPr="00454392">
        <w:rPr>
          <w:rFonts w:cs="Calibri"/>
          <w:b/>
          <w:color w:val="FF0000"/>
          <w:sz w:val="20"/>
          <w:szCs w:val="20"/>
          <w:u w:val="single"/>
        </w:rPr>
        <w:t>.07.2024</w:t>
      </w:r>
      <w:r w:rsidR="003C0FA2">
        <w:rPr>
          <w:rFonts w:cs="Calibri"/>
          <w:bCs/>
          <w:color w:val="FF0000"/>
          <w:sz w:val="20"/>
          <w:szCs w:val="20"/>
          <w:u w:val="single"/>
        </w:rPr>
        <w:t xml:space="preserve"> </w:t>
      </w:r>
      <w:r w:rsidR="00BC61A5" w:rsidRPr="00BC61A5">
        <w:rPr>
          <w:rFonts w:cs="Calibri"/>
          <w:bCs/>
          <w:color w:val="FF0000"/>
          <w:sz w:val="20"/>
          <w:szCs w:val="20"/>
          <w:u w:val="single"/>
        </w:rPr>
        <w:t xml:space="preserve">r. – aplikacje przygotowane po tym terminie nie będą uwzględniane; </w:t>
      </w:r>
    </w:p>
    <w:p w14:paraId="745450E1" w14:textId="4E8F383E" w:rsidR="00BC61A5" w:rsidRDefault="00BC61A5" w:rsidP="00F42058">
      <w:pPr>
        <w:pStyle w:val="Tekstpodstawowy"/>
        <w:numPr>
          <w:ilvl w:val="0"/>
          <w:numId w:val="18"/>
        </w:numPr>
        <w:ind w:left="426" w:right="135"/>
        <w:rPr>
          <w:bCs/>
        </w:rPr>
      </w:pPr>
      <w:r w:rsidRPr="00BC61A5">
        <w:rPr>
          <w:bCs/>
        </w:rPr>
        <w:t xml:space="preserve">W przypadku otrzymania większej liczby zgłoszeń niż </w:t>
      </w:r>
      <w:r>
        <w:rPr>
          <w:bCs/>
        </w:rPr>
        <w:t xml:space="preserve">5, </w:t>
      </w:r>
      <w:r w:rsidRPr="00BC61A5">
        <w:rPr>
          <w:bCs/>
        </w:rPr>
        <w:t>Biuro</w:t>
      </w:r>
      <w:r w:rsidRPr="00BC61A5">
        <w:rPr>
          <w:bCs/>
          <w:spacing w:val="41"/>
        </w:rPr>
        <w:t xml:space="preserve"> </w:t>
      </w:r>
      <w:r w:rsidRPr="00BC61A5">
        <w:rPr>
          <w:bCs/>
        </w:rPr>
        <w:t>ds.</w:t>
      </w:r>
      <w:r w:rsidRPr="00BC61A5">
        <w:rPr>
          <w:bCs/>
          <w:spacing w:val="40"/>
        </w:rPr>
        <w:t xml:space="preserve"> </w:t>
      </w:r>
      <w:r w:rsidRPr="00BC61A5">
        <w:rPr>
          <w:bCs/>
        </w:rPr>
        <w:t>Wspomagania</w:t>
      </w:r>
      <w:r w:rsidRPr="00BC61A5">
        <w:rPr>
          <w:bCs/>
          <w:spacing w:val="42"/>
        </w:rPr>
        <w:t xml:space="preserve"> </w:t>
      </w:r>
      <w:r w:rsidRPr="00BC61A5">
        <w:rPr>
          <w:bCs/>
        </w:rPr>
        <w:t>Rozwoj</w:t>
      </w:r>
      <w:r w:rsidR="00E65CDB">
        <w:rPr>
          <w:bCs/>
        </w:rPr>
        <w:t xml:space="preserve">u UW </w:t>
      </w:r>
      <w:r w:rsidRPr="00BC61A5">
        <w:rPr>
          <w:bCs/>
        </w:rPr>
        <w:t>skoordynuje</w:t>
      </w:r>
      <w:r w:rsidRPr="00BC61A5">
        <w:rPr>
          <w:bCs/>
          <w:spacing w:val="42"/>
        </w:rPr>
        <w:t xml:space="preserve"> </w:t>
      </w:r>
      <w:r w:rsidRPr="00BC61A5">
        <w:rPr>
          <w:bCs/>
        </w:rPr>
        <w:t>wewnętrzny</w:t>
      </w:r>
      <w:r w:rsidRPr="00BC61A5">
        <w:rPr>
          <w:bCs/>
          <w:spacing w:val="43"/>
        </w:rPr>
        <w:t xml:space="preserve"> </w:t>
      </w:r>
      <w:r w:rsidRPr="00BC61A5">
        <w:rPr>
          <w:bCs/>
        </w:rPr>
        <w:t>proces</w:t>
      </w:r>
      <w:r w:rsidRPr="00BC61A5">
        <w:rPr>
          <w:bCs/>
          <w:spacing w:val="42"/>
        </w:rPr>
        <w:t xml:space="preserve"> </w:t>
      </w:r>
      <w:r w:rsidRPr="00BC61A5">
        <w:rPr>
          <w:bCs/>
        </w:rPr>
        <w:t>wyboru najlepszych projektów</w:t>
      </w:r>
      <w:r w:rsidR="00375A34">
        <w:rPr>
          <w:bCs/>
        </w:rPr>
        <w:t>, który zostanie</w:t>
      </w:r>
      <w:r>
        <w:rPr>
          <w:bCs/>
        </w:rPr>
        <w:t xml:space="preserve"> dokonany przez Komisję </w:t>
      </w:r>
      <w:r w:rsidRPr="00FD70FE">
        <w:rPr>
          <w:b/>
        </w:rPr>
        <w:t>na podstawie kryteriów oceny zawartych w ogłoszeniu o naborze wniosków</w:t>
      </w:r>
      <w:r>
        <w:rPr>
          <w:bCs/>
        </w:rPr>
        <w:t xml:space="preserve"> (wzory kart oceny formalnej i merytorycznej, z uwzględnienie</w:t>
      </w:r>
      <w:r w:rsidR="003C0FA2">
        <w:rPr>
          <w:bCs/>
        </w:rPr>
        <w:t>m</w:t>
      </w:r>
      <w:r>
        <w:rPr>
          <w:bCs/>
        </w:rPr>
        <w:t xml:space="preserve"> kryteriów premiujących</w:t>
      </w:r>
      <w:r w:rsidR="00CE0328">
        <w:rPr>
          <w:bCs/>
        </w:rPr>
        <w:t>)</w:t>
      </w:r>
      <w:r w:rsidR="00375A34">
        <w:rPr>
          <w:bCs/>
        </w:rPr>
        <w:t xml:space="preserve"> oraz w oparciu o informacje dodatkowe</w:t>
      </w:r>
      <w:r w:rsidR="004F472B">
        <w:rPr>
          <w:rStyle w:val="Odwoanieprzypisudolnego"/>
          <w:bCs/>
        </w:rPr>
        <w:footnoteReference w:id="2"/>
      </w:r>
      <w:r w:rsidR="00375A34">
        <w:rPr>
          <w:bCs/>
        </w:rPr>
        <w:t xml:space="preserve"> (konieczne do uzupełnienia ww. wzorze)</w:t>
      </w:r>
      <w:r w:rsidR="00E65CDB">
        <w:rPr>
          <w:bCs/>
        </w:rPr>
        <w:t>;</w:t>
      </w:r>
    </w:p>
    <w:p w14:paraId="3627B696" w14:textId="659291CA" w:rsidR="00BC61A5" w:rsidRDefault="00BC61A5" w:rsidP="00F42058">
      <w:pPr>
        <w:pStyle w:val="Tekstpodstawowy"/>
        <w:numPr>
          <w:ilvl w:val="0"/>
          <w:numId w:val="18"/>
        </w:numPr>
        <w:ind w:left="426" w:right="135"/>
        <w:rPr>
          <w:bCs/>
        </w:rPr>
      </w:pPr>
      <w:r>
        <w:rPr>
          <w:bCs/>
        </w:rPr>
        <w:t>Następnie do osób zainteresowanych</w:t>
      </w:r>
      <w:r w:rsidR="00E65CDB">
        <w:rPr>
          <w:bCs/>
        </w:rPr>
        <w:t>,</w:t>
      </w:r>
      <w:r>
        <w:rPr>
          <w:bCs/>
        </w:rPr>
        <w:t xml:space="preserve"> drogą </w:t>
      </w:r>
      <w:r w:rsidR="003C0FA2">
        <w:rPr>
          <w:bCs/>
        </w:rPr>
        <w:t>mailową</w:t>
      </w:r>
      <w:r>
        <w:rPr>
          <w:bCs/>
        </w:rPr>
        <w:t xml:space="preserve"> zostanie </w:t>
      </w:r>
      <w:r w:rsidR="00E65CDB">
        <w:rPr>
          <w:bCs/>
        </w:rPr>
        <w:t>przesłana</w:t>
      </w:r>
      <w:r>
        <w:rPr>
          <w:bCs/>
        </w:rPr>
        <w:t xml:space="preserve"> informacja, </w:t>
      </w:r>
      <w:r w:rsidR="00BA2496">
        <w:rPr>
          <w:bCs/>
        </w:rPr>
        <w:br/>
      </w:r>
      <w:r w:rsidR="00BF750D">
        <w:rPr>
          <w:bCs/>
        </w:rPr>
        <w:t>o aplikacjach</w:t>
      </w:r>
      <w:r>
        <w:rPr>
          <w:bCs/>
        </w:rPr>
        <w:t xml:space="preserve"> zatwierdzon</w:t>
      </w:r>
      <w:r w:rsidR="00BF750D">
        <w:rPr>
          <w:bCs/>
        </w:rPr>
        <w:t>ych</w:t>
      </w:r>
      <w:r>
        <w:rPr>
          <w:bCs/>
        </w:rPr>
        <w:t xml:space="preserve"> do przygotowania pełnej wymaganej w ww. Konkursie dokumentacji. </w:t>
      </w:r>
    </w:p>
    <w:p w14:paraId="56697F65" w14:textId="28492108" w:rsidR="00BF750D" w:rsidRDefault="00BF750D" w:rsidP="00F42058">
      <w:pPr>
        <w:pStyle w:val="Tekstpodstawowy"/>
        <w:ind w:right="135"/>
        <w:rPr>
          <w:bCs/>
        </w:rPr>
      </w:pPr>
    </w:p>
    <w:p w14:paraId="5F4B5D4F" w14:textId="6947981B" w:rsidR="00BF750D" w:rsidRDefault="00BF750D" w:rsidP="00F42058">
      <w:pPr>
        <w:pStyle w:val="Tekstpodstawowy"/>
        <w:ind w:right="135"/>
        <w:rPr>
          <w:bCs/>
        </w:rPr>
      </w:pPr>
    </w:p>
    <w:p w14:paraId="7827A9DD" w14:textId="16B97833" w:rsidR="00BF750D" w:rsidRDefault="00BF750D" w:rsidP="00F4205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Dokumentacja konkursowa oraz FAQ dostępne są </w:t>
      </w:r>
      <w:r w:rsidRPr="006D09D9">
        <w:rPr>
          <w:rFonts w:ascii="Calibri" w:hAnsi="Calibri" w:cs="Calibri"/>
        </w:rPr>
        <w:t>na st</w:t>
      </w:r>
      <w:r w:rsidRPr="006D09D9">
        <w:rPr>
          <w:rFonts w:ascii="Calibri" w:hAnsi="Calibri" w:cs="Calibri"/>
        </w:rPr>
        <w:t>r</w:t>
      </w:r>
      <w:r w:rsidRPr="006D09D9">
        <w:rPr>
          <w:rFonts w:ascii="Calibri" w:hAnsi="Calibri" w:cs="Calibri"/>
        </w:rPr>
        <w:t>onie ABM</w:t>
      </w:r>
      <w:r w:rsidR="006D09D9">
        <w:rPr>
          <w:rFonts w:ascii="Calibri" w:hAnsi="Calibri" w:cs="Calibri"/>
          <w:color w:val="000000"/>
        </w:rPr>
        <w:t>:</w:t>
      </w:r>
    </w:p>
    <w:p w14:paraId="37E03CEE" w14:textId="6ECB51E7" w:rsidR="006D09D9" w:rsidRPr="006D09D9" w:rsidRDefault="006D09D9" w:rsidP="00F42058">
      <w:pPr>
        <w:rPr>
          <w:rFonts w:ascii="Calibri" w:hAnsi="Calibri" w:cs="Calibri"/>
          <w:color w:val="000000"/>
          <w:lang w:val="en-GB"/>
        </w:rPr>
      </w:pPr>
      <w:r w:rsidRPr="006D09D9">
        <w:rPr>
          <w:rFonts w:ascii="Calibri" w:hAnsi="Calibri" w:cs="Calibri"/>
          <w:color w:val="000000"/>
          <w:lang w:val="en-GB"/>
        </w:rPr>
        <w:t xml:space="preserve">Link: </w:t>
      </w:r>
      <w:hyperlink r:id="rId11" w:history="1">
        <w:r w:rsidRPr="00123FA9">
          <w:rPr>
            <w:rStyle w:val="Hipercze"/>
            <w:rFonts w:ascii="Calibri" w:hAnsi="Calibri" w:cs="Calibri"/>
            <w:lang w:val="en-GB"/>
          </w:rPr>
          <w:t>https://abm.gov.pl/pl/aktualnosci/2635,Pierwszy-konkurs-ABM-w-ramach-KPO.html</w:t>
        </w:r>
      </w:hyperlink>
      <w:r>
        <w:rPr>
          <w:rFonts w:ascii="Calibri" w:hAnsi="Calibri" w:cs="Calibri"/>
          <w:color w:val="000000"/>
          <w:lang w:val="en-GB"/>
        </w:rPr>
        <w:t xml:space="preserve"> </w:t>
      </w:r>
    </w:p>
    <w:p w14:paraId="7AA34009" w14:textId="63DC9F9D" w:rsidR="00BF750D" w:rsidRPr="006D09D9" w:rsidRDefault="00BF750D" w:rsidP="00F42058">
      <w:pPr>
        <w:pStyle w:val="Tekstpodstawowy"/>
        <w:ind w:right="135"/>
        <w:rPr>
          <w:bCs/>
          <w:lang w:val="en-GB"/>
        </w:rPr>
      </w:pPr>
    </w:p>
    <w:p w14:paraId="21E43E1A" w14:textId="4C2F2CC8" w:rsidR="00BF750D" w:rsidRPr="006D09D9" w:rsidRDefault="00BF750D" w:rsidP="00F42058">
      <w:pPr>
        <w:pStyle w:val="Tekstpodstawowy"/>
        <w:ind w:right="135"/>
        <w:rPr>
          <w:bCs/>
          <w:lang w:val="en-GB"/>
        </w:rPr>
      </w:pPr>
    </w:p>
    <w:p w14:paraId="30D2FE17" w14:textId="3B6ED2C7" w:rsidR="00BF750D" w:rsidRPr="00616AE2" w:rsidRDefault="006D09D9" w:rsidP="00F42058">
      <w:pPr>
        <w:tabs>
          <w:tab w:val="left" w:pos="1545"/>
        </w:tabs>
        <w:rPr>
          <w:b/>
          <w:color w:val="333399"/>
        </w:rPr>
      </w:pPr>
      <w:hyperlink r:id="rId12" w:history="1">
        <w:r w:rsidRPr="00123FA9">
          <w:rPr>
            <w:rStyle w:val="Hipercze"/>
            <w:b/>
          </w:rPr>
          <w:t>www.bwr.uw.edu.pl</w:t>
        </w:r>
      </w:hyperlink>
      <w:r>
        <w:rPr>
          <w:b/>
          <w:color w:val="333399"/>
        </w:rPr>
        <w:t xml:space="preserve"> </w:t>
      </w:r>
    </w:p>
    <w:p w14:paraId="67D3C1FF" w14:textId="77777777" w:rsidR="006D09D9" w:rsidRDefault="006D09D9" w:rsidP="00F42058">
      <w:pPr>
        <w:spacing w:line="360" w:lineRule="auto"/>
        <w:rPr>
          <w:rFonts w:ascii="Calibri" w:hAnsi="Calibri" w:cs="Calibri"/>
          <w:bCs/>
          <w:sz w:val="18"/>
          <w:szCs w:val="18"/>
        </w:rPr>
      </w:pPr>
    </w:p>
    <w:p w14:paraId="1C3F0981" w14:textId="5548E05A" w:rsidR="00BF750D" w:rsidRPr="00BF750D" w:rsidRDefault="00BF750D" w:rsidP="00F42058">
      <w:pPr>
        <w:spacing w:line="360" w:lineRule="auto"/>
        <w:rPr>
          <w:rFonts w:ascii="Calibri" w:hAnsi="Calibri" w:cs="Calibri"/>
          <w:bCs/>
          <w:sz w:val="18"/>
          <w:szCs w:val="18"/>
        </w:rPr>
      </w:pPr>
      <w:r w:rsidRPr="00BF750D">
        <w:rPr>
          <w:rFonts w:ascii="Calibri" w:hAnsi="Calibri" w:cs="Calibri"/>
          <w:bCs/>
          <w:sz w:val="18"/>
          <w:szCs w:val="18"/>
        </w:rPr>
        <w:t xml:space="preserve">W razie </w:t>
      </w:r>
      <w:r>
        <w:rPr>
          <w:rFonts w:ascii="Calibri" w:hAnsi="Calibri" w:cs="Calibri"/>
          <w:bCs/>
          <w:sz w:val="18"/>
          <w:szCs w:val="18"/>
        </w:rPr>
        <w:t>wątpliwości</w:t>
      </w:r>
      <w:r w:rsidRPr="00BF750D">
        <w:rPr>
          <w:rFonts w:ascii="Calibri" w:hAnsi="Calibri" w:cs="Calibri"/>
          <w:bCs/>
          <w:sz w:val="18"/>
          <w:szCs w:val="18"/>
        </w:rPr>
        <w:t xml:space="preserve"> prosimy kontakt: </w:t>
      </w:r>
    </w:p>
    <w:p w14:paraId="162B7C1E" w14:textId="2872F6DD" w:rsidR="00BF750D" w:rsidRPr="00BF750D" w:rsidRDefault="00BF750D" w:rsidP="00F42058">
      <w:pPr>
        <w:spacing w:line="360" w:lineRule="auto"/>
        <w:rPr>
          <w:rFonts w:ascii="Calibri" w:hAnsi="Calibri" w:cs="Calibri"/>
          <w:bCs/>
          <w:sz w:val="18"/>
          <w:szCs w:val="18"/>
        </w:rPr>
      </w:pPr>
      <w:r w:rsidRPr="00BF750D">
        <w:rPr>
          <w:rFonts w:ascii="Calibri" w:hAnsi="Calibri" w:cs="Calibri"/>
          <w:bCs/>
          <w:sz w:val="18"/>
          <w:szCs w:val="18"/>
        </w:rPr>
        <w:t xml:space="preserve">Katarzyna Szymańska – 22 55 20 727 </w:t>
      </w:r>
    </w:p>
    <w:p w14:paraId="61CE33F8" w14:textId="44BFBDDD" w:rsidR="00BF750D" w:rsidRPr="00BF750D" w:rsidRDefault="00981A0E" w:rsidP="00F42058">
      <w:pPr>
        <w:spacing w:line="360" w:lineRule="auto"/>
        <w:rPr>
          <w:rFonts w:ascii="Calibri" w:hAnsi="Calibri" w:cs="Calibri"/>
          <w:bCs/>
          <w:sz w:val="18"/>
          <w:szCs w:val="18"/>
        </w:rPr>
      </w:pPr>
      <w:hyperlink r:id="rId13" w:history="1">
        <w:r w:rsidR="00BF750D" w:rsidRPr="00BF750D">
          <w:rPr>
            <w:rStyle w:val="Hipercze"/>
            <w:rFonts w:ascii="Calibri" w:hAnsi="Calibri" w:cs="Calibri"/>
            <w:bCs/>
            <w:sz w:val="18"/>
            <w:szCs w:val="18"/>
          </w:rPr>
          <w:t>bwr@uw.edu.pl</w:t>
        </w:r>
      </w:hyperlink>
    </w:p>
    <w:p w14:paraId="0E064AB5" w14:textId="45BF6058" w:rsidR="00BF750D" w:rsidRPr="00BF750D" w:rsidRDefault="00981A0E" w:rsidP="00F42058">
      <w:pPr>
        <w:spacing w:line="360" w:lineRule="auto"/>
        <w:rPr>
          <w:rFonts w:ascii="Calibri" w:hAnsi="Calibri" w:cs="Calibri"/>
          <w:b/>
          <w:sz w:val="18"/>
          <w:szCs w:val="18"/>
        </w:rPr>
      </w:pPr>
      <w:hyperlink r:id="rId14" w:history="1">
        <w:r w:rsidR="00BF750D" w:rsidRPr="00BF750D">
          <w:rPr>
            <w:rStyle w:val="Hipercze"/>
            <w:rFonts w:ascii="Calibri" w:hAnsi="Calibri" w:cs="Calibri"/>
            <w:bCs/>
            <w:sz w:val="18"/>
            <w:szCs w:val="18"/>
          </w:rPr>
          <w:t>katarzyna.mikiewicz@adm.uw.edu.pl</w:t>
        </w:r>
      </w:hyperlink>
    </w:p>
    <w:p w14:paraId="22B6B7B6" w14:textId="6F3247F0" w:rsidR="00F71348" w:rsidRPr="00C740E3" w:rsidRDefault="00F71348" w:rsidP="006D09D9">
      <w:pPr>
        <w:ind w:right="214"/>
        <w:rPr>
          <w:szCs w:val="20"/>
        </w:rPr>
      </w:pPr>
    </w:p>
    <w:p w14:paraId="6314D83B" w14:textId="31B82A66" w:rsidR="00BF2B99" w:rsidRDefault="00BF2B99">
      <w:pPr>
        <w:pStyle w:val="Tekstpodstawowy"/>
      </w:pPr>
    </w:p>
    <w:sectPr w:rsidR="00BF2B99" w:rsidSect="003744E9">
      <w:footerReference w:type="even" r:id="rId15"/>
      <w:footerReference w:type="default" r:id="rId16"/>
      <w:type w:val="continuous"/>
      <w:pgSz w:w="11906" w:h="16838" w:code="9"/>
      <w:pgMar w:top="1134" w:right="1418" w:bottom="899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388D" w14:textId="77777777" w:rsidR="00981A0E" w:rsidRDefault="00981A0E">
      <w:r>
        <w:separator/>
      </w:r>
    </w:p>
  </w:endnote>
  <w:endnote w:type="continuationSeparator" w:id="0">
    <w:p w14:paraId="1D37277C" w14:textId="77777777" w:rsidR="00981A0E" w:rsidRDefault="0098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EB75" w14:textId="77777777" w:rsidR="00447BD3" w:rsidRDefault="00447BD3" w:rsidP="007C31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B4D3B4" w14:textId="77777777" w:rsidR="00447BD3" w:rsidRDefault="00447BD3" w:rsidP="009A19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AA2F" w14:textId="50AEB23B" w:rsidR="00447BD3" w:rsidRDefault="00447BD3" w:rsidP="008873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3B51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8254FAF" w14:textId="69354970" w:rsidR="00447BD3" w:rsidRPr="00447BD3" w:rsidRDefault="00447BD3" w:rsidP="006D09D9">
    <w:pPr>
      <w:pStyle w:val="Stopka"/>
      <w:ind w:right="360"/>
      <w:rPr>
        <w:rFonts w:ascii="Trebuchet MS" w:hAnsi="Trebuchet MS"/>
        <w:b/>
        <w:color w:val="999999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E1CB" w14:textId="77777777" w:rsidR="00981A0E" w:rsidRDefault="00981A0E">
      <w:r>
        <w:separator/>
      </w:r>
    </w:p>
  </w:footnote>
  <w:footnote w:type="continuationSeparator" w:id="0">
    <w:p w14:paraId="4FC31BF2" w14:textId="77777777" w:rsidR="00981A0E" w:rsidRDefault="00981A0E">
      <w:r>
        <w:continuationSeparator/>
      </w:r>
    </w:p>
  </w:footnote>
  <w:footnote w:id="1">
    <w:p w14:paraId="22D624DF" w14:textId="3D58A8BB" w:rsidR="00E14343" w:rsidRPr="00164E11" w:rsidRDefault="00E14343">
      <w:pPr>
        <w:pStyle w:val="Tekstprzypisudolnego"/>
        <w:rPr>
          <w:sz w:val="18"/>
          <w:szCs w:val="18"/>
        </w:rPr>
      </w:pPr>
      <w:r w:rsidRPr="00164E11">
        <w:rPr>
          <w:rStyle w:val="Odwoanieprzypisudolnego"/>
          <w:sz w:val="18"/>
          <w:szCs w:val="18"/>
        </w:rPr>
        <w:footnoteRef/>
      </w:r>
      <w:r w:rsidRPr="00164E11">
        <w:rPr>
          <w:sz w:val="18"/>
          <w:szCs w:val="18"/>
        </w:rPr>
        <w:t xml:space="preserve"> Wydatki związane z zaangażowaniem w realizację Przedsięwzięcia pracowników administracyjnych nie mogą być rozliczane w ramach kategorii kosztu Wynagrodzenia zespołu badawczego – mieszczą się w kategorii </w:t>
      </w:r>
      <w:r w:rsidRPr="00164E11">
        <w:rPr>
          <w:i/>
          <w:iCs/>
          <w:sz w:val="18"/>
          <w:szCs w:val="18"/>
        </w:rPr>
        <w:t>Koszty pośrednie</w:t>
      </w:r>
      <w:r w:rsidRPr="00164E11">
        <w:rPr>
          <w:sz w:val="18"/>
          <w:szCs w:val="18"/>
        </w:rPr>
        <w:t>.</w:t>
      </w:r>
    </w:p>
  </w:footnote>
  <w:footnote w:id="2">
    <w:p w14:paraId="16328144" w14:textId="386DC104" w:rsidR="004F472B" w:rsidRPr="00FD70FE" w:rsidRDefault="004F472B">
      <w:pPr>
        <w:pStyle w:val="Tekstprzypisudolnego"/>
        <w:rPr>
          <w:b/>
          <w:bCs/>
        </w:rPr>
      </w:pPr>
      <w:r w:rsidRPr="00FD70FE">
        <w:rPr>
          <w:rStyle w:val="Odwoanieprzypisudolnego"/>
          <w:b/>
          <w:bCs/>
          <w:sz w:val="18"/>
          <w:szCs w:val="18"/>
        </w:rPr>
        <w:footnoteRef/>
      </w:r>
      <w:r w:rsidRPr="00FD70FE">
        <w:rPr>
          <w:b/>
          <w:bCs/>
          <w:sz w:val="18"/>
          <w:szCs w:val="18"/>
        </w:rPr>
        <w:t xml:space="preserve"> Preferowane będą projekty międzywydziałowe.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502B40"/>
    <w:multiLevelType w:val="hybridMultilevel"/>
    <w:tmpl w:val="490D303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8038B9"/>
    <w:multiLevelType w:val="hybridMultilevel"/>
    <w:tmpl w:val="F99F4F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4B4682"/>
    <w:multiLevelType w:val="hybridMultilevel"/>
    <w:tmpl w:val="832CD1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207B56"/>
    <w:multiLevelType w:val="hybridMultilevel"/>
    <w:tmpl w:val="A4F23FF2"/>
    <w:lvl w:ilvl="0" w:tplc="8EAE2516">
      <w:numFmt w:val="bullet"/>
      <w:lvlText w:val=""/>
      <w:lvlJc w:val="left"/>
      <w:pPr>
        <w:ind w:left="826" w:hanging="437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2DDCA7C0">
      <w:numFmt w:val="bullet"/>
      <w:lvlText w:val="•"/>
      <w:lvlJc w:val="left"/>
      <w:pPr>
        <w:ind w:left="1678" w:hanging="437"/>
      </w:pPr>
      <w:rPr>
        <w:rFonts w:hint="default"/>
        <w:lang w:val="pl-PL" w:eastAsia="pl-PL" w:bidi="pl-PL"/>
      </w:rPr>
    </w:lvl>
    <w:lvl w:ilvl="2" w:tplc="1EE6B78C">
      <w:numFmt w:val="bullet"/>
      <w:lvlText w:val="•"/>
      <w:lvlJc w:val="left"/>
      <w:pPr>
        <w:ind w:left="2537" w:hanging="437"/>
      </w:pPr>
      <w:rPr>
        <w:rFonts w:hint="default"/>
        <w:lang w:val="pl-PL" w:eastAsia="pl-PL" w:bidi="pl-PL"/>
      </w:rPr>
    </w:lvl>
    <w:lvl w:ilvl="3" w:tplc="21D40A72">
      <w:numFmt w:val="bullet"/>
      <w:lvlText w:val="•"/>
      <w:lvlJc w:val="left"/>
      <w:pPr>
        <w:ind w:left="3395" w:hanging="437"/>
      </w:pPr>
      <w:rPr>
        <w:rFonts w:hint="default"/>
        <w:lang w:val="pl-PL" w:eastAsia="pl-PL" w:bidi="pl-PL"/>
      </w:rPr>
    </w:lvl>
    <w:lvl w:ilvl="4" w:tplc="FF7A8322">
      <w:numFmt w:val="bullet"/>
      <w:lvlText w:val="•"/>
      <w:lvlJc w:val="left"/>
      <w:pPr>
        <w:ind w:left="4254" w:hanging="437"/>
      </w:pPr>
      <w:rPr>
        <w:rFonts w:hint="default"/>
        <w:lang w:val="pl-PL" w:eastAsia="pl-PL" w:bidi="pl-PL"/>
      </w:rPr>
    </w:lvl>
    <w:lvl w:ilvl="5" w:tplc="438CAC3E">
      <w:numFmt w:val="bullet"/>
      <w:lvlText w:val="•"/>
      <w:lvlJc w:val="left"/>
      <w:pPr>
        <w:ind w:left="5113" w:hanging="437"/>
      </w:pPr>
      <w:rPr>
        <w:rFonts w:hint="default"/>
        <w:lang w:val="pl-PL" w:eastAsia="pl-PL" w:bidi="pl-PL"/>
      </w:rPr>
    </w:lvl>
    <w:lvl w:ilvl="6" w:tplc="68B8CD14">
      <w:numFmt w:val="bullet"/>
      <w:lvlText w:val="•"/>
      <w:lvlJc w:val="left"/>
      <w:pPr>
        <w:ind w:left="5971" w:hanging="437"/>
      </w:pPr>
      <w:rPr>
        <w:rFonts w:hint="default"/>
        <w:lang w:val="pl-PL" w:eastAsia="pl-PL" w:bidi="pl-PL"/>
      </w:rPr>
    </w:lvl>
    <w:lvl w:ilvl="7" w:tplc="2C18FE7E">
      <w:numFmt w:val="bullet"/>
      <w:lvlText w:val="•"/>
      <w:lvlJc w:val="left"/>
      <w:pPr>
        <w:ind w:left="6830" w:hanging="437"/>
      </w:pPr>
      <w:rPr>
        <w:rFonts w:hint="default"/>
        <w:lang w:val="pl-PL" w:eastAsia="pl-PL" w:bidi="pl-PL"/>
      </w:rPr>
    </w:lvl>
    <w:lvl w:ilvl="8" w:tplc="AB30C144">
      <w:numFmt w:val="bullet"/>
      <w:lvlText w:val="•"/>
      <w:lvlJc w:val="left"/>
      <w:pPr>
        <w:ind w:left="7689" w:hanging="437"/>
      </w:pPr>
      <w:rPr>
        <w:rFonts w:hint="default"/>
        <w:lang w:val="pl-PL" w:eastAsia="pl-PL" w:bidi="pl-PL"/>
      </w:rPr>
    </w:lvl>
  </w:abstractNum>
  <w:abstractNum w:abstractNumId="4" w15:restartNumberingAfterBreak="0">
    <w:nsid w:val="0ED00303"/>
    <w:multiLevelType w:val="hybridMultilevel"/>
    <w:tmpl w:val="706419C8"/>
    <w:lvl w:ilvl="0" w:tplc="B6185F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5D1FF8"/>
    <w:multiLevelType w:val="hybridMultilevel"/>
    <w:tmpl w:val="63AEA902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1273BF9"/>
    <w:multiLevelType w:val="hybridMultilevel"/>
    <w:tmpl w:val="6D0A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54C3"/>
    <w:multiLevelType w:val="multilevel"/>
    <w:tmpl w:val="2472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620609"/>
    <w:multiLevelType w:val="hybridMultilevel"/>
    <w:tmpl w:val="5C76797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E1F4F48"/>
    <w:multiLevelType w:val="hybridMultilevel"/>
    <w:tmpl w:val="A4224944"/>
    <w:lvl w:ilvl="0" w:tplc="25CAFC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F7E19"/>
    <w:multiLevelType w:val="hybridMultilevel"/>
    <w:tmpl w:val="BF9658C0"/>
    <w:lvl w:ilvl="0" w:tplc="37DA2E94">
      <w:numFmt w:val="bullet"/>
      <w:lvlText w:val=""/>
      <w:lvlJc w:val="left"/>
      <w:pPr>
        <w:ind w:left="826" w:hanging="437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590CB808">
      <w:numFmt w:val="bullet"/>
      <w:lvlText w:val="•"/>
      <w:lvlJc w:val="left"/>
      <w:pPr>
        <w:ind w:left="1678" w:hanging="437"/>
      </w:pPr>
      <w:rPr>
        <w:rFonts w:hint="default"/>
        <w:lang w:val="pl-PL" w:eastAsia="pl-PL" w:bidi="pl-PL"/>
      </w:rPr>
    </w:lvl>
    <w:lvl w:ilvl="2" w:tplc="9C6453BA">
      <w:numFmt w:val="bullet"/>
      <w:lvlText w:val="•"/>
      <w:lvlJc w:val="left"/>
      <w:pPr>
        <w:ind w:left="2537" w:hanging="437"/>
      </w:pPr>
      <w:rPr>
        <w:rFonts w:hint="default"/>
        <w:lang w:val="pl-PL" w:eastAsia="pl-PL" w:bidi="pl-PL"/>
      </w:rPr>
    </w:lvl>
    <w:lvl w:ilvl="3" w:tplc="6D26DB52">
      <w:numFmt w:val="bullet"/>
      <w:lvlText w:val="•"/>
      <w:lvlJc w:val="left"/>
      <w:pPr>
        <w:ind w:left="3395" w:hanging="437"/>
      </w:pPr>
      <w:rPr>
        <w:rFonts w:hint="default"/>
        <w:lang w:val="pl-PL" w:eastAsia="pl-PL" w:bidi="pl-PL"/>
      </w:rPr>
    </w:lvl>
    <w:lvl w:ilvl="4" w:tplc="6756DED0">
      <w:numFmt w:val="bullet"/>
      <w:lvlText w:val="•"/>
      <w:lvlJc w:val="left"/>
      <w:pPr>
        <w:ind w:left="4254" w:hanging="437"/>
      </w:pPr>
      <w:rPr>
        <w:rFonts w:hint="default"/>
        <w:lang w:val="pl-PL" w:eastAsia="pl-PL" w:bidi="pl-PL"/>
      </w:rPr>
    </w:lvl>
    <w:lvl w:ilvl="5" w:tplc="8ADECD80">
      <w:numFmt w:val="bullet"/>
      <w:lvlText w:val="•"/>
      <w:lvlJc w:val="left"/>
      <w:pPr>
        <w:ind w:left="5113" w:hanging="437"/>
      </w:pPr>
      <w:rPr>
        <w:rFonts w:hint="default"/>
        <w:lang w:val="pl-PL" w:eastAsia="pl-PL" w:bidi="pl-PL"/>
      </w:rPr>
    </w:lvl>
    <w:lvl w:ilvl="6" w:tplc="65E0B8A6">
      <w:numFmt w:val="bullet"/>
      <w:lvlText w:val="•"/>
      <w:lvlJc w:val="left"/>
      <w:pPr>
        <w:ind w:left="5971" w:hanging="437"/>
      </w:pPr>
      <w:rPr>
        <w:rFonts w:hint="default"/>
        <w:lang w:val="pl-PL" w:eastAsia="pl-PL" w:bidi="pl-PL"/>
      </w:rPr>
    </w:lvl>
    <w:lvl w:ilvl="7" w:tplc="288E1746">
      <w:numFmt w:val="bullet"/>
      <w:lvlText w:val="•"/>
      <w:lvlJc w:val="left"/>
      <w:pPr>
        <w:ind w:left="6830" w:hanging="437"/>
      </w:pPr>
      <w:rPr>
        <w:rFonts w:hint="default"/>
        <w:lang w:val="pl-PL" w:eastAsia="pl-PL" w:bidi="pl-PL"/>
      </w:rPr>
    </w:lvl>
    <w:lvl w:ilvl="8" w:tplc="35961964">
      <w:numFmt w:val="bullet"/>
      <w:lvlText w:val="•"/>
      <w:lvlJc w:val="left"/>
      <w:pPr>
        <w:ind w:left="7689" w:hanging="437"/>
      </w:pPr>
      <w:rPr>
        <w:rFonts w:hint="default"/>
        <w:lang w:val="pl-PL" w:eastAsia="pl-PL" w:bidi="pl-PL"/>
      </w:rPr>
    </w:lvl>
  </w:abstractNum>
  <w:abstractNum w:abstractNumId="11" w15:restartNumberingAfterBreak="0">
    <w:nsid w:val="5B3259AF"/>
    <w:multiLevelType w:val="hybridMultilevel"/>
    <w:tmpl w:val="D37246DA"/>
    <w:lvl w:ilvl="0" w:tplc="25CAFC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F668B"/>
    <w:multiLevelType w:val="hybridMultilevel"/>
    <w:tmpl w:val="68F4BEC8"/>
    <w:lvl w:ilvl="0" w:tplc="91A866A6">
      <w:numFmt w:val="bullet"/>
      <w:lvlText w:val=""/>
      <w:lvlJc w:val="left"/>
      <w:pPr>
        <w:ind w:left="826" w:hanging="293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82DCCCF8">
      <w:numFmt w:val="bullet"/>
      <w:lvlText w:val="•"/>
      <w:lvlJc w:val="left"/>
      <w:pPr>
        <w:ind w:left="1678" w:hanging="293"/>
      </w:pPr>
      <w:rPr>
        <w:rFonts w:hint="default"/>
        <w:lang w:val="pl-PL" w:eastAsia="pl-PL" w:bidi="pl-PL"/>
      </w:rPr>
    </w:lvl>
    <w:lvl w:ilvl="2" w:tplc="D6FE631A">
      <w:numFmt w:val="bullet"/>
      <w:lvlText w:val="•"/>
      <w:lvlJc w:val="left"/>
      <w:pPr>
        <w:ind w:left="2537" w:hanging="293"/>
      </w:pPr>
      <w:rPr>
        <w:rFonts w:hint="default"/>
        <w:lang w:val="pl-PL" w:eastAsia="pl-PL" w:bidi="pl-PL"/>
      </w:rPr>
    </w:lvl>
    <w:lvl w:ilvl="3" w:tplc="52F01B74">
      <w:numFmt w:val="bullet"/>
      <w:lvlText w:val="•"/>
      <w:lvlJc w:val="left"/>
      <w:pPr>
        <w:ind w:left="3395" w:hanging="293"/>
      </w:pPr>
      <w:rPr>
        <w:rFonts w:hint="default"/>
        <w:lang w:val="pl-PL" w:eastAsia="pl-PL" w:bidi="pl-PL"/>
      </w:rPr>
    </w:lvl>
    <w:lvl w:ilvl="4" w:tplc="98CAFF7E">
      <w:numFmt w:val="bullet"/>
      <w:lvlText w:val="•"/>
      <w:lvlJc w:val="left"/>
      <w:pPr>
        <w:ind w:left="4254" w:hanging="293"/>
      </w:pPr>
      <w:rPr>
        <w:rFonts w:hint="default"/>
        <w:lang w:val="pl-PL" w:eastAsia="pl-PL" w:bidi="pl-PL"/>
      </w:rPr>
    </w:lvl>
    <w:lvl w:ilvl="5" w:tplc="4BEAD418">
      <w:numFmt w:val="bullet"/>
      <w:lvlText w:val="•"/>
      <w:lvlJc w:val="left"/>
      <w:pPr>
        <w:ind w:left="5113" w:hanging="293"/>
      </w:pPr>
      <w:rPr>
        <w:rFonts w:hint="default"/>
        <w:lang w:val="pl-PL" w:eastAsia="pl-PL" w:bidi="pl-PL"/>
      </w:rPr>
    </w:lvl>
    <w:lvl w:ilvl="6" w:tplc="59826236">
      <w:numFmt w:val="bullet"/>
      <w:lvlText w:val="•"/>
      <w:lvlJc w:val="left"/>
      <w:pPr>
        <w:ind w:left="5971" w:hanging="293"/>
      </w:pPr>
      <w:rPr>
        <w:rFonts w:hint="default"/>
        <w:lang w:val="pl-PL" w:eastAsia="pl-PL" w:bidi="pl-PL"/>
      </w:rPr>
    </w:lvl>
    <w:lvl w:ilvl="7" w:tplc="0EF8A04E">
      <w:numFmt w:val="bullet"/>
      <w:lvlText w:val="•"/>
      <w:lvlJc w:val="left"/>
      <w:pPr>
        <w:ind w:left="6830" w:hanging="293"/>
      </w:pPr>
      <w:rPr>
        <w:rFonts w:hint="default"/>
        <w:lang w:val="pl-PL" w:eastAsia="pl-PL" w:bidi="pl-PL"/>
      </w:rPr>
    </w:lvl>
    <w:lvl w:ilvl="8" w:tplc="5DE69F5C">
      <w:numFmt w:val="bullet"/>
      <w:lvlText w:val="•"/>
      <w:lvlJc w:val="left"/>
      <w:pPr>
        <w:ind w:left="7689" w:hanging="293"/>
      </w:pPr>
      <w:rPr>
        <w:rFonts w:hint="default"/>
        <w:lang w:val="pl-PL" w:eastAsia="pl-PL" w:bidi="pl-PL"/>
      </w:rPr>
    </w:lvl>
  </w:abstractNum>
  <w:abstractNum w:abstractNumId="13" w15:restartNumberingAfterBreak="0">
    <w:nsid w:val="5FE46979"/>
    <w:multiLevelType w:val="hybridMultilevel"/>
    <w:tmpl w:val="0AD4BC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A315A"/>
    <w:multiLevelType w:val="hybridMultilevel"/>
    <w:tmpl w:val="17C2C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90244"/>
    <w:multiLevelType w:val="hybridMultilevel"/>
    <w:tmpl w:val="718807B6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C0E75E9"/>
    <w:multiLevelType w:val="hybridMultilevel"/>
    <w:tmpl w:val="9586B86E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7" w15:restartNumberingAfterBreak="0">
    <w:nsid w:val="7EFA1D3B"/>
    <w:multiLevelType w:val="hybridMultilevel"/>
    <w:tmpl w:val="1800F58E"/>
    <w:lvl w:ilvl="0" w:tplc="ECEA825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345C0764">
      <w:numFmt w:val="bullet"/>
      <w:lvlText w:val="•"/>
      <w:lvlJc w:val="left"/>
      <w:pPr>
        <w:ind w:left="1696" w:hanging="360"/>
      </w:pPr>
      <w:rPr>
        <w:rFonts w:hint="default"/>
        <w:lang w:val="pl-PL" w:eastAsia="pl-PL" w:bidi="pl-PL"/>
      </w:rPr>
    </w:lvl>
    <w:lvl w:ilvl="2" w:tplc="0574A862">
      <w:numFmt w:val="bullet"/>
      <w:lvlText w:val="•"/>
      <w:lvlJc w:val="left"/>
      <w:pPr>
        <w:ind w:left="2553" w:hanging="360"/>
      </w:pPr>
      <w:rPr>
        <w:rFonts w:hint="default"/>
        <w:lang w:val="pl-PL" w:eastAsia="pl-PL" w:bidi="pl-PL"/>
      </w:rPr>
    </w:lvl>
    <w:lvl w:ilvl="3" w:tplc="4CF490D8">
      <w:numFmt w:val="bullet"/>
      <w:lvlText w:val="•"/>
      <w:lvlJc w:val="left"/>
      <w:pPr>
        <w:ind w:left="3409" w:hanging="360"/>
      </w:pPr>
      <w:rPr>
        <w:rFonts w:hint="default"/>
        <w:lang w:val="pl-PL" w:eastAsia="pl-PL" w:bidi="pl-PL"/>
      </w:rPr>
    </w:lvl>
    <w:lvl w:ilvl="4" w:tplc="377AAB3E">
      <w:numFmt w:val="bullet"/>
      <w:lvlText w:val="•"/>
      <w:lvlJc w:val="left"/>
      <w:pPr>
        <w:ind w:left="4266" w:hanging="360"/>
      </w:pPr>
      <w:rPr>
        <w:rFonts w:hint="default"/>
        <w:lang w:val="pl-PL" w:eastAsia="pl-PL" w:bidi="pl-PL"/>
      </w:rPr>
    </w:lvl>
    <w:lvl w:ilvl="5" w:tplc="E132CE84">
      <w:numFmt w:val="bullet"/>
      <w:lvlText w:val="•"/>
      <w:lvlJc w:val="left"/>
      <w:pPr>
        <w:ind w:left="5123" w:hanging="360"/>
      </w:pPr>
      <w:rPr>
        <w:rFonts w:hint="default"/>
        <w:lang w:val="pl-PL" w:eastAsia="pl-PL" w:bidi="pl-PL"/>
      </w:rPr>
    </w:lvl>
    <w:lvl w:ilvl="6" w:tplc="4FACF0F4">
      <w:numFmt w:val="bullet"/>
      <w:lvlText w:val="•"/>
      <w:lvlJc w:val="left"/>
      <w:pPr>
        <w:ind w:left="5979" w:hanging="360"/>
      </w:pPr>
      <w:rPr>
        <w:rFonts w:hint="default"/>
        <w:lang w:val="pl-PL" w:eastAsia="pl-PL" w:bidi="pl-PL"/>
      </w:rPr>
    </w:lvl>
    <w:lvl w:ilvl="7" w:tplc="7A92ABD6">
      <w:numFmt w:val="bullet"/>
      <w:lvlText w:val="•"/>
      <w:lvlJc w:val="left"/>
      <w:pPr>
        <w:ind w:left="6836" w:hanging="360"/>
      </w:pPr>
      <w:rPr>
        <w:rFonts w:hint="default"/>
        <w:lang w:val="pl-PL" w:eastAsia="pl-PL" w:bidi="pl-PL"/>
      </w:rPr>
    </w:lvl>
    <w:lvl w:ilvl="8" w:tplc="D39A6B58">
      <w:numFmt w:val="bullet"/>
      <w:lvlText w:val="•"/>
      <w:lvlJc w:val="left"/>
      <w:pPr>
        <w:ind w:left="7693" w:hanging="360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0"/>
  </w:num>
  <w:num w:numId="5">
    <w:abstractNumId w:val="16"/>
  </w:num>
  <w:num w:numId="6">
    <w:abstractNumId w:val="7"/>
  </w:num>
  <w:num w:numId="7">
    <w:abstractNumId w:val="14"/>
  </w:num>
  <w:num w:numId="8">
    <w:abstractNumId w:val="8"/>
  </w:num>
  <w:num w:numId="9">
    <w:abstractNumId w:val="13"/>
  </w:num>
  <w:num w:numId="10">
    <w:abstractNumId w:val="0"/>
  </w:num>
  <w:num w:numId="11">
    <w:abstractNumId w:val="5"/>
  </w:num>
  <w:num w:numId="12">
    <w:abstractNumId w:val="2"/>
  </w:num>
  <w:num w:numId="13">
    <w:abstractNumId w:val="15"/>
  </w:num>
  <w:num w:numId="14">
    <w:abstractNumId w:val="1"/>
  </w:num>
  <w:num w:numId="15">
    <w:abstractNumId w:val="6"/>
  </w:num>
  <w:num w:numId="16">
    <w:abstractNumId w:val="9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E6"/>
    <w:rsid w:val="00007C99"/>
    <w:rsid w:val="00010D04"/>
    <w:rsid w:val="00012A7D"/>
    <w:rsid w:val="00035418"/>
    <w:rsid w:val="00043B1F"/>
    <w:rsid w:val="00055632"/>
    <w:rsid w:val="00074008"/>
    <w:rsid w:val="0007778A"/>
    <w:rsid w:val="00095D37"/>
    <w:rsid w:val="000F3048"/>
    <w:rsid w:val="000F7A56"/>
    <w:rsid w:val="0014734A"/>
    <w:rsid w:val="00164E11"/>
    <w:rsid w:val="001B0A0E"/>
    <w:rsid w:val="001B5024"/>
    <w:rsid w:val="001C0790"/>
    <w:rsid w:val="002061D2"/>
    <w:rsid w:val="00206403"/>
    <w:rsid w:val="00211DC6"/>
    <w:rsid w:val="002204ED"/>
    <w:rsid w:val="00241DF2"/>
    <w:rsid w:val="00265122"/>
    <w:rsid w:val="0029776A"/>
    <w:rsid w:val="002B6112"/>
    <w:rsid w:val="002F66C2"/>
    <w:rsid w:val="00322D9F"/>
    <w:rsid w:val="003326C4"/>
    <w:rsid w:val="003744E9"/>
    <w:rsid w:val="00374BDD"/>
    <w:rsid w:val="00375A34"/>
    <w:rsid w:val="003C0FA2"/>
    <w:rsid w:val="003E5FE1"/>
    <w:rsid w:val="00404B75"/>
    <w:rsid w:val="00443A6F"/>
    <w:rsid w:val="00445B95"/>
    <w:rsid w:val="00447BD3"/>
    <w:rsid w:val="00454392"/>
    <w:rsid w:val="004C7E79"/>
    <w:rsid w:val="004D7143"/>
    <w:rsid w:val="004F472B"/>
    <w:rsid w:val="00514D09"/>
    <w:rsid w:val="00555ED1"/>
    <w:rsid w:val="00576902"/>
    <w:rsid w:val="005815B1"/>
    <w:rsid w:val="005E034A"/>
    <w:rsid w:val="00613146"/>
    <w:rsid w:val="0063069F"/>
    <w:rsid w:val="00634EE8"/>
    <w:rsid w:val="006463B5"/>
    <w:rsid w:val="00650B5C"/>
    <w:rsid w:val="00695451"/>
    <w:rsid w:val="006C03EC"/>
    <w:rsid w:val="006D09D9"/>
    <w:rsid w:val="006F3134"/>
    <w:rsid w:val="00703477"/>
    <w:rsid w:val="00723ECA"/>
    <w:rsid w:val="0078405F"/>
    <w:rsid w:val="00796761"/>
    <w:rsid w:val="00796C50"/>
    <w:rsid w:val="007C21A2"/>
    <w:rsid w:val="00861723"/>
    <w:rsid w:val="00874043"/>
    <w:rsid w:val="008A4D2D"/>
    <w:rsid w:val="008C1B9A"/>
    <w:rsid w:val="009271A0"/>
    <w:rsid w:val="00941773"/>
    <w:rsid w:val="00953CD3"/>
    <w:rsid w:val="00962C06"/>
    <w:rsid w:val="00981969"/>
    <w:rsid w:val="00981A0E"/>
    <w:rsid w:val="009931E6"/>
    <w:rsid w:val="009946A3"/>
    <w:rsid w:val="00A453B7"/>
    <w:rsid w:val="00A82178"/>
    <w:rsid w:val="00AB7893"/>
    <w:rsid w:val="00AC5182"/>
    <w:rsid w:val="00B1366A"/>
    <w:rsid w:val="00B33D6C"/>
    <w:rsid w:val="00B911CC"/>
    <w:rsid w:val="00BA2496"/>
    <w:rsid w:val="00BB50DC"/>
    <w:rsid w:val="00BC4BF7"/>
    <w:rsid w:val="00BC61A5"/>
    <w:rsid w:val="00BD1B9B"/>
    <w:rsid w:val="00BF156A"/>
    <w:rsid w:val="00BF2B99"/>
    <w:rsid w:val="00BF750D"/>
    <w:rsid w:val="00C013E0"/>
    <w:rsid w:val="00C117D7"/>
    <w:rsid w:val="00C3530A"/>
    <w:rsid w:val="00C45D65"/>
    <w:rsid w:val="00C47DE8"/>
    <w:rsid w:val="00C62B3B"/>
    <w:rsid w:val="00C64FBA"/>
    <w:rsid w:val="00C740E3"/>
    <w:rsid w:val="00C93D64"/>
    <w:rsid w:val="00CA4B2D"/>
    <w:rsid w:val="00CE0328"/>
    <w:rsid w:val="00D03928"/>
    <w:rsid w:val="00D43B51"/>
    <w:rsid w:val="00D7303F"/>
    <w:rsid w:val="00D75991"/>
    <w:rsid w:val="00DA19A2"/>
    <w:rsid w:val="00E10087"/>
    <w:rsid w:val="00E1236A"/>
    <w:rsid w:val="00E14343"/>
    <w:rsid w:val="00E20E52"/>
    <w:rsid w:val="00E36358"/>
    <w:rsid w:val="00E54BCA"/>
    <w:rsid w:val="00E65CDB"/>
    <w:rsid w:val="00E718C5"/>
    <w:rsid w:val="00EC4709"/>
    <w:rsid w:val="00EE19B0"/>
    <w:rsid w:val="00F352BF"/>
    <w:rsid w:val="00F42058"/>
    <w:rsid w:val="00F70FEA"/>
    <w:rsid w:val="00F71348"/>
    <w:rsid w:val="00FB7B10"/>
    <w:rsid w:val="00FC4AFD"/>
    <w:rsid w:val="00FD426F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2751E"/>
  <w15:docId w15:val="{27EDD819-B200-4467-9BC2-C266E582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 w:eastAsia="pl-PL" w:bidi="pl-PL"/>
    </w:rPr>
  </w:style>
  <w:style w:type="paragraph" w:styleId="Nagwek1">
    <w:name w:val="heading 1"/>
    <w:basedOn w:val="Normalny"/>
    <w:uiPriority w:val="9"/>
    <w:qFormat/>
    <w:pPr>
      <w:jc w:val="right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1094" w:right="1191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118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6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1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1A0"/>
    <w:rPr>
      <w:rFonts w:ascii="Trebuchet MS" w:eastAsia="Trebuchet MS" w:hAnsi="Trebuchet MS" w:cs="Trebuchet MS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1A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271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9271A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271A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4D2D"/>
    <w:rPr>
      <w:color w:val="605E5C"/>
      <w:shd w:val="clear" w:color="auto" w:fill="E1DFDD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6C03EC"/>
    <w:pPr>
      <w:widowControl/>
      <w:autoSpaceDE/>
      <w:autoSpaceDN/>
      <w:spacing w:before="720" w:after="360"/>
      <w:ind w:left="720" w:right="720"/>
    </w:pPr>
    <w:rPr>
      <w:rFonts w:ascii="Franklin Gothic Book" w:eastAsia="Franklin Gothic Book" w:hAnsi="Franklin Gothic Book" w:cs="Times New Roman"/>
      <w:color w:val="595959"/>
      <w:kern w:val="20"/>
      <w:sz w:val="24"/>
      <w:szCs w:val="20"/>
      <w:lang w:eastAsia="ja-JP" w:bidi="ar-SA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6C03EC"/>
    <w:rPr>
      <w:rFonts w:ascii="Franklin Gothic Book" w:eastAsia="Franklin Gothic Book" w:hAnsi="Franklin Gothic Book" w:cs="Times New Roman"/>
      <w:color w:val="595959"/>
      <w:kern w:val="20"/>
      <w:sz w:val="24"/>
      <w:szCs w:val="20"/>
      <w:lang w:val="pl-PL" w:eastAsia="ja-JP"/>
    </w:rPr>
  </w:style>
  <w:style w:type="paragraph" w:styleId="Stopka">
    <w:name w:val="footer"/>
    <w:basedOn w:val="Normalny"/>
    <w:link w:val="StopkaZnak"/>
    <w:rsid w:val="00447BD3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opkaZnak">
    <w:name w:val="Stopka Znak"/>
    <w:basedOn w:val="Domylnaczcionkaakapitu"/>
    <w:link w:val="Stopka"/>
    <w:rsid w:val="00447BD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447BD3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B50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B5024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1B5024"/>
  </w:style>
  <w:style w:type="character" w:styleId="Uwydatnienie">
    <w:name w:val="Emphasis"/>
    <w:basedOn w:val="Domylnaczcionkaakapitu"/>
    <w:uiPriority w:val="20"/>
    <w:qFormat/>
    <w:rsid w:val="003744E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BB50DC"/>
    <w:rPr>
      <w:color w:val="800080" w:themeColor="followedHyperlink"/>
      <w:u w:val="single"/>
    </w:rPr>
  </w:style>
  <w:style w:type="character" w:customStyle="1" w:styleId="go">
    <w:name w:val="go"/>
    <w:basedOn w:val="Domylnaczcionkaakapitu"/>
    <w:rsid w:val="00B911CC"/>
  </w:style>
  <w:style w:type="paragraph" w:styleId="Tekstdymka">
    <w:name w:val="Balloon Text"/>
    <w:basedOn w:val="Normalny"/>
    <w:link w:val="TekstdymkaZnak"/>
    <w:uiPriority w:val="99"/>
    <w:semiHidden/>
    <w:unhideWhenUsed/>
    <w:rsid w:val="00B33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D6C"/>
    <w:rPr>
      <w:rFonts w:ascii="Segoe UI" w:eastAsia="Trebuchet MS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D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D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D6C"/>
    <w:rPr>
      <w:rFonts w:ascii="Trebuchet MS" w:eastAsia="Trebuchet MS" w:hAnsi="Trebuchet MS" w:cs="Trebuchet MS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D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D6C"/>
    <w:rPr>
      <w:rFonts w:ascii="Trebuchet MS" w:eastAsia="Trebuchet MS" w:hAnsi="Trebuchet MS" w:cs="Trebuchet MS"/>
      <w:b/>
      <w:bCs/>
      <w:sz w:val="20"/>
      <w:szCs w:val="20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B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4BCA"/>
    <w:rPr>
      <w:rFonts w:ascii="Trebuchet MS" w:eastAsia="Trebuchet MS" w:hAnsi="Trebuchet MS" w:cs="Trebuchet MS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BCA"/>
    <w:rPr>
      <w:vertAlign w:val="superscript"/>
    </w:rPr>
  </w:style>
  <w:style w:type="paragraph" w:customStyle="1" w:styleId="Default">
    <w:name w:val="Default"/>
    <w:rsid w:val="00AB7893"/>
    <w:pPr>
      <w:widowControl/>
      <w:adjustRightInd w:val="0"/>
    </w:pPr>
    <w:rPr>
      <w:rFonts w:ascii="Source Sans Pro" w:hAnsi="Source Sans Pro" w:cs="Source Sans Pro"/>
      <w:color w:val="000000"/>
      <w:sz w:val="24"/>
      <w:szCs w:val="24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4FB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15B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D09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9D9"/>
    <w:rPr>
      <w:rFonts w:ascii="Trebuchet MS" w:eastAsia="Trebuchet MS" w:hAnsi="Trebuchet MS" w:cs="Trebuchet MS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m.gov.pl/pl/aktualnosci/2635,Pierwszy-konkurs-ABM-w-ramach-KPO.html" TargetMode="External"/><Relationship Id="rId13" Type="http://schemas.openxmlformats.org/officeDocument/2006/relationships/hyperlink" Target="mailto:bwr@uw.edu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wr.uw.edu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m.gov.pl/pl/aktualnosci/2635,Pierwszy-konkurs-ABM-w-ramach-KPO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wr@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uchwala-rady-ministrow-z-dnia-21-czerwca-2022-r-w-sprawie-przyjecia-dokumentu-rzadowy-plan-rozwoju-sektora-biomedycznego-na-lata-2022-2032/" TargetMode="External"/><Relationship Id="rId14" Type="http://schemas.openxmlformats.org/officeDocument/2006/relationships/hyperlink" Target="mailto:katarzyna.mikiewicz@adm.u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11FE9-921A-46D1-AD88-7EE6D7E8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Szczęśnik</dc:creator>
  <cp:lastModifiedBy>Ewa Szkop</cp:lastModifiedBy>
  <cp:revision>2</cp:revision>
  <dcterms:created xsi:type="dcterms:W3CDTF">2024-07-03T09:46:00Z</dcterms:created>
  <dcterms:modified xsi:type="dcterms:W3CDTF">2024-07-03T09:46:00Z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2023-08-17T00:00:00Z</vt:filetime>
  </property>
</Properties>
</file>